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drawing>
          <wp:anchor simplePos="0" relativeHeight="251657728" behindDoc="1" locked="0" layoutInCell="0" allowOverlap="1">
            <wp:simplePos x="0" y="0"/>
            <wp:positionH relativeFrom="page">
              <wp:posOffset>276860</wp:posOffset>
            </wp:positionH>
            <wp:positionV relativeFrom="page">
              <wp:posOffset>166370</wp:posOffset>
            </wp:positionV>
            <wp:extent cx="6995160" cy="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page">
              <wp:posOffset>276860</wp:posOffset>
            </wp:positionH>
            <wp:positionV relativeFrom="page">
              <wp:posOffset>208915</wp:posOffset>
            </wp:positionV>
            <wp:extent cx="6995160" cy="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6995160" cy="8255"/>
                    </a:xfrm>
                    <a:prstGeom prst="rect">
                      <a:avLst/>
                    </a:prstGeom>
                    <a:noFill/>
                  </pic:spPr>
                </pic:pic>
              </a:graphicData>
            </a:graphic>
          </wp:anchor>
        </w:drawing>
        <w:t>UNITED STATES</w:t>
      </w:r>
    </w:p>
    <w:p>
      <w:pPr>
        <w:spacing w:after="0" w:line="37"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t>SECURITIES AND EXCHANGE COMMISSION</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WASHINGTON, D.C. 20549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158750</wp:posOffset>
            </wp:positionV>
            <wp:extent cx="1474470" cy="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345"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FORM 8-K</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190500</wp:posOffset>
            </wp:positionV>
            <wp:extent cx="1474470" cy="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11"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2"/>
          <w:szCs w:val="22"/>
          <w:b w:val="1"/>
          <w:bCs w:val="1"/>
          <w:color w:val="auto"/>
        </w:rPr>
        <w:t>CURRENT REPORT</w:t>
      </w:r>
    </w:p>
    <w:p>
      <w:pPr>
        <w:spacing w:after="0" w:line="8"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PURSUANT TO SECTION 13 OR 15(d)</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OF THE SECURITIES EXCHANGE ACT OF 1934</w:t>
      </w:r>
    </w:p>
    <w:p>
      <w:pPr>
        <w:spacing w:after="0" w:line="97"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Date of Report (Date of earliest event reported): June 17, 2024</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184785</wp:posOffset>
            </wp:positionV>
            <wp:extent cx="1474470" cy="889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1474470" cy="8890"/>
                    </a:xfrm>
                    <a:prstGeom prst="rect">
                      <a:avLst/>
                    </a:prstGeom>
                    <a:noFill/>
                  </pic:spPr>
                </pic:pic>
              </a:graphicData>
            </a:graphic>
          </wp:anchor>
        </w:drawing>
      </w:r>
    </w:p>
    <w:p>
      <w:pPr>
        <w:spacing w:after="0" w:line="369"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42"/>
          <w:szCs w:val="42"/>
          <w:b w:val="1"/>
          <w:bCs w:val="1"/>
          <w:color w:val="auto"/>
        </w:rPr>
        <w:t>MICROSTRATEGY INCORPORATED</w:t>
      </w:r>
    </w:p>
    <w:p>
      <w:pPr>
        <w:spacing w:after="0" w:line="70"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(Exact name of registrant as specified in its charter)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175895</wp:posOffset>
            </wp:positionV>
            <wp:extent cx="1474470"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ectPr>
          <w:pgSz w:w="11900" w:h="16838" w:orient="portrait"/>
          <w:cols w:equalWidth="0" w:num="1">
            <w:col w:w="11020"/>
          </w:cols>
          <w:pgMar w:left="440" w:top="376" w:right="439" w:bottom="1440" w:gutter="0" w:footer="0" w:header="0"/>
        </w:sectPr>
      </w:pPr>
    </w:p>
    <w:p>
      <w:pPr>
        <w:spacing w:after="0" w:line="200" w:lineRule="exact"/>
        <w:rPr>
          <w:sz w:val="24"/>
          <w:szCs w:val="24"/>
          <w:color w:val="auto"/>
        </w:rPr>
      </w:pPr>
    </w:p>
    <w:p>
      <w:pPr>
        <w:spacing w:after="0" w:line="244" w:lineRule="exact"/>
        <w:rPr>
          <w:sz w:val="24"/>
          <w:szCs w:val="24"/>
          <w:color w:val="auto"/>
        </w:rPr>
      </w:pPr>
    </w:p>
    <w:p>
      <w:pPr>
        <w:ind w:left="1500"/>
        <w:spacing w:after="0"/>
        <w:rPr>
          <w:sz w:val="20"/>
          <w:szCs w:val="20"/>
          <w:color w:val="auto"/>
        </w:rPr>
      </w:pPr>
      <w:r>
        <w:rPr>
          <w:rFonts w:ascii="Times New Roman" w:cs="Times New Roman" w:eastAsia="Times New Roman" w:hAnsi="Times New Roman"/>
          <w:sz w:val="17"/>
          <w:szCs w:val="17"/>
          <w:b w:val="1"/>
          <w:bCs w:val="1"/>
          <w:color w:val="auto"/>
        </w:rPr>
        <w:t>Delaware</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24" w:lineRule="exact"/>
        <w:rPr>
          <w:sz w:val="24"/>
          <w:szCs w:val="24"/>
          <w:color w:val="auto"/>
        </w:rPr>
      </w:pPr>
    </w:p>
    <w:p>
      <w:pPr>
        <w:jc w:val="center"/>
        <w:ind w:right="2180"/>
        <w:spacing w:after="0"/>
        <w:rPr>
          <w:sz w:val="20"/>
          <w:szCs w:val="20"/>
          <w:color w:val="auto"/>
        </w:rPr>
      </w:pPr>
      <w:r>
        <w:rPr>
          <w:rFonts w:ascii="Times New Roman" w:cs="Times New Roman" w:eastAsia="Times New Roman" w:hAnsi="Times New Roman"/>
          <w:sz w:val="17"/>
          <w:szCs w:val="17"/>
          <w:b w:val="1"/>
          <w:bCs w:val="1"/>
          <w:color w:val="auto"/>
        </w:rPr>
        <w:t>0-24435</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24"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51-0323571</w:t>
      </w:r>
    </w:p>
    <w:p>
      <w:pPr>
        <w:spacing w:after="0" w:line="24" w:lineRule="exact"/>
        <w:rPr>
          <w:sz w:val="24"/>
          <w:szCs w:val="24"/>
          <w:color w:val="auto"/>
        </w:rPr>
      </w:pPr>
    </w:p>
    <w:p>
      <w:pPr>
        <w:sectPr>
          <w:pgSz w:w="11900" w:h="16838" w:orient="portrait"/>
          <w:cols w:equalWidth="0" w:num="3">
            <w:col w:w="4600" w:space="720"/>
            <w:col w:w="2780" w:space="720"/>
            <w:col w:w="2200"/>
          </w:cols>
          <w:pgMar w:left="440" w:top="376" w:right="439" w:bottom="1440" w:gutter="0" w:footer="0" w:header="0"/>
          <w:type w:val="continuous"/>
        </w:sectPr>
      </w:pP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(State or other jurisdiction</w:t>
      </w: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of incorporation)</w:t>
      </w:r>
    </w:p>
    <w:p>
      <w:pPr>
        <w:spacing w:after="0" w:line="20" w:lineRule="exact"/>
        <w:rPr>
          <w:sz w:val="24"/>
          <w:szCs w:val="24"/>
          <w:color w:val="auto"/>
        </w:rPr>
      </w:pPr>
      <w:r>
        <w:rPr>
          <w:sz w:val="24"/>
          <w:szCs w:val="24"/>
          <w:color w:val="auto"/>
        </w:rPr>
        <w:br w:type="column"/>
      </w:r>
    </w:p>
    <w:p>
      <w:pPr>
        <w:ind w:left="20"/>
        <w:spacing w:after="0"/>
        <w:rPr>
          <w:sz w:val="20"/>
          <w:szCs w:val="20"/>
          <w:color w:val="auto"/>
        </w:rPr>
      </w:pPr>
      <w:r>
        <w:rPr>
          <w:rFonts w:ascii="Times New Roman" w:cs="Times New Roman" w:eastAsia="Times New Roman" w:hAnsi="Times New Roman"/>
          <w:sz w:val="14"/>
          <w:szCs w:val="14"/>
          <w:b w:val="1"/>
          <w:bCs w:val="1"/>
          <w:color w:val="auto"/>
        </w:rPr>
        <w:t>(Commission</w:t>
      </w:r>
    </w:p>
    <w:p>
      <w:pPr>
        <w:spacing w:after="0"/>
        <w:rPr>
          <w:sz w:val="20"/>
          <w:szCs w:val="20"/>
          <w:color w:val="auto"/>
        </w:rPr>
      </w:pPr>
      <w:r>
        <w:rPr>
          <w:rFonts w:ascii="Times New Roman" w:cs="Times New Roman" w:eastAsia="Times New Roman" w:hAnsi="Times New Roman"/>
          <w:sz w:val="14"/>
          <w:szCs w:val="14"/>
          <w:b w:val="1"/>
          <w:bCs w:val="1"/>
          <w:color w:val="auto"/>
        </w:rPr>
        <w:t>File Number)</w:t>
      </w:r>
    </w:p>
    <w:p>
      <w:pPr>
        <w:spacing w:after="0" w:line="20" w:lineRule="exact"/>
        <w:rPr>
          <w:sz w:val="24"/>
          <w:szCs w:val="24"/>
          <w:color w:val="auto"/>
        </w:rPr>
      </w:pPr>
      <w:r>
        <w:rPr>
          <w:sz w:val="24"/>
          <w:szCs w:val="24"/>
          <w:color w:val="auto"/>
        </w:rPr>
        <w:br w:type="column"/>
      </w:r>
    </w:p>
    <w:p>
      <w:pPr>
        <w:ind w:left="60"/>
        <w:spacing w:after="0"/>
        <w:rPr>
          <w:sz w:val="20"/>
          <w:szCs w:val="20"/>
          <w:color w:val="auto"/>
        </w:rPr>
      </w:pPr>
      <w:r>
        <w:rPr>
          <w:rFonts w:ascii="Times New Roman" w:cs="Times New Roman" w:eastAsia="Times New Roman" w:hAnsi="Times New Roman"/>
          <w:sz w:val="14"/>
          <w:szCs w:val="14"/>
          <w:b w:val="1"/>
          <w:bCs w:val="1"/>
          <w:color w:val="auto"/>
        </w:rPr>
        <w:t>(I.R.S. Employer</w:t>
      </w:r>
    </w:p>
    <w:p>
      <w:pPr>
        <w:spacing w:after="0"/>
        <w:rPr>
          <w:sz w:val="20"/>
          <w:szCs w:val="20"/>
          <w:color w:val="auto"/>
        </w:rPr>
      </w:pPr>
      <w:r>
        <w:rPr>
          <w:rFonts w:ascii="Times New Roman" w:cs="Times New Roman" w:eastAsia="Times New Roman" w:hAnsi="Times New Roman"/>
          <w:sz w:val="14"/>
          <w:szCs w:val="14"/>
          <w:b w:val="1"/>
          <w:bCs w:val="1"/>
          <w:color w:val="auto"/>
        </w:rPr>
        <w:t>Identification No.)</w:t>
      </w:r>
    </w:p>
    <w:p>
      <w:pPr>
        <w:spacing w:after="0" w:line="134" w:lineRule="exact"/>
        <w:rPr>
          <w:sz w:val="24"/>
          <w:szCs w:val="24"/>
          <w:color w:val="auto"/>
        </w:rPr>
      </w:pPr>
    </w:p>
    <w:p>
      <w:pPr>
        <w:sectPr>
          <w:pgSz w:w="11900" w:h="16838" w:orient="portrait"/>
          <w:cols w:equalWidth="0" w:num="3">
            <w:col w:w="4480" w:space="720"/>
            <w:col w:w="2760" w:space="720"/>
            <w:col w:w="2340"/>
          </w:cols>
          <w:pgMar w:left="440" w:top="376" w:right="439" w:bottom="1440" w:gutter="0" w:footer="0" w:header="0"/>
          <w:type w:val="continuous"/>
        </w:sectPr>
      </w:pPr>
    </w:p>
    <w:p>
      <w:pPr>
        <w:jc w:val="center"/>
        <w:ind w:right="1860"/>
        <w:spacing w:after="0"/>
        <w:rPr>
          <w:sz w:val="20"/>
          <w:szCs w:val="20"/>
          <w:color w:val="auto"/>
        </w:rPr>
      </w:pPr>
      <w:r>
        <w:rPr>
          <w:rFonts w:ascii="Times New Roman" w:cs="Times New Roman" w:eastAsia="Times New Roman" w:hAnsi="Times New Roman"/>
          <w:sz w:val="17"/>
          <w:szCs w:val="17"/>
          <w:b w:val="1"/>
          <w:bCs w:val="1"/>
          <w:color w:val="auto"/>
        </w:rPr>
        <w:t>1850 Towers Crescent Plaza</w:t>
      </w:r>
    </w:p>
    <w:p>
      <w:pPr>
        <w:spacing w:after="0" w:line="43" w:lineRule="exact"/>
        <w:rPr>
          <w:sz w:val="24"/>
          <w:szCs w:val="24"/>
          <w:color w:val="auto"/>
        </w:rPr>
      </w:pPr>
    </w:p>
    <w:p>
      <w:pPr>
        <w:jc w:val="center"/>
        <w:ind w:right="1860"/>
        <w:spacing w:after="0"/>
        <w:rPr>
          <w:sz w:val="20"/>
          <w:szCs w:val="20"/>
          <w:color w:val="auto"/>
        </w:rPr>
      </w:pPr>
      <w:r>
        <w:rPr>
          <w:rFonts w:ascii="Times New Roman" w:cs="Times New Roman" w:eastAsia="Times New Roman" w:hAnsi="Times New Roman"/>
          <w:sz w:val="18"/>
          <w:szCs w:val="18"/>
          <w:b w:val="1"/>
          <w:bCs w:val="1"/>
          <w:color w:val="auto"/>
        </w:rPr>
        <w:t>Tysons Corner, Virginia</w:t>
      </w:r>
    </w:p>
    <w:p>
      <w:pPr>
        <w:spacing w:after="0" w:line="20" w:lineRule="exact"/>
        <w:rPr>
          <w:sz w:val="24"/>
          <w:szCs w:val="24"/>
          <w:color w:val="auto"/>
        </w:rPr>
      </w:pPr>
      <w:r>
        <w:rPr>
          <w:sz w:val="24"/>
          <w:szCs w:val="24"/>
          <w:color w:val="auto"/>
        </w:rPr>
        <w:br w:type="column"/>
      </w:r>
    </w:p>
    <w:p>
      <w:pPr>
        <w:spacing w:after="0" w:line="209"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22182</w:t>
      </w:r>
    </w:p>
    <w:p>
      <w:pPr>
        <w:spacing w:after="0" w:line="43" w:lineRule="exact"/>
        <w:rPr>
          <w:sz w:val="24"/>
          <w:szCs w:val="24"/>
          <w:color w:val="auto"/>
        </w:rPr>
      </w:pPr>
    </w:p>
    <w:p>
      <w:pPr>
        <w:sectPr>
          <w:pgSz w:w="11900" w:h="16838" w:orient="portrait"/>
          <w:cols w:equalWidth="0" w:num="2">
            <w:col w:w="7400" w:space="720"/>
            <w:col w:w="2900"/>
          </w:cols>
          <w:pgMar w:left="440" w:top="376" w:right="439" w:bottom="1440" w:gutter="0" w:footer="0" w:header="0"/>
          <w:type w:val="continuous"/>
        </w:sectPr>
      </w:pPr>
    </w:p>
    <w:p>
      <w:pPr>
        <w:ind w:left="1580"/>
        <w:spacing w:after="0"/>
        <w:rPr>
          <w:sz w:val="20"/>
          <w:szCs w:val="20"/>
          <w:color w:val="auto"/>
        </w:rPr>
      </w:pPr>
      <w:r>
        <w:rPr>
          <w:rFonts w:ascii="Times New Roman" w:cs="Times New Roman" w:eastAsia="Times New Roman" w:hAnsi="Times New Roman"/>
          <w:sz w:val="14"/>
          <w:szCs w:val="14"/>
          <w:b w:val="1"/>
          <w:bCs w:val="1"/>
          <w:color w:val="auto"/>
        </w:rPr>
        <w:t>(Address of principal executive offices)</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Times New Roman" w:cs="Times New Roman" w:eastAsia="Times New Roman" w:hAnsi="Times New Roman"/>
          <w:sz w:val="14"/>
          <w:szCs w:val="14"/>
          <w:b w:val="1"/>
          <w:bCs w:val="1"/>
          <w:color w:val="auto"/>
        </w:rPr>
        <w:t>(Zip Code)</w:t>
      </w:r>
    </w:p>
    <w:p>
      <w:pPr>
        <w:spacing w:after="0" w:line="114" w:lineRule="exact"/>
        <w:rPr>
          <w:sz w:val="24"/>
          <w:szCs w:val="24"/>
          <w:color w:val="auto"/>
        </w:rPr>
      </w:pPr>
    </w:p>
    <w:p>
      <w:pPr>
        <w:sectPr>
          <w:pgSz w:w="11900" w:h="16838" w:orient="portrait"/>
          <w:cols w:equalWidth="0" w:num="2">
            <w:col w:w="7280" w:space="720"/>
            <w:col w:w="3020"/>
          </w:cols>
          <w:pgMar w:left="440" w:top="376" w:right="439" w:bottom="1440" w:gutter="0" w:footer="0" w:header="0"/>
          <w:type w:val="continuous"/>
        </w:sectPr>
      </w:pPr>
    </w:p>
    <w:p>
      <w:pPr>
        <w:jc w:val="center"/>
        <w:spacing w:after="0"/>
        <w:rPr>
          <w:sz w:val="20"/>
          <w:szCs w:val="20"/>
          <w:color w:val="auto"/>
        </w:rPr>
      </w:pPr>
      <w:r>
        <w:rPr>
          <w:rFonts w:ascii="Times New Roman" w:cs="Times New Roman" w:eastAsia="Times New Roman" w:hAnsi="Times New Roman"/>
          <w:sz w:val="18"/>
          <w:szCs w:val="18"/>
          <w:b w:val="1"/>
          <w:bCs w:val="1"/>
          <w:color w:val="auto"/>
        </w:rPr>
        <w:t>Registrant’s telephone number, including area code: (703) 848-8600</w:t>
      </w:r>
    </w:p>
    <w:p>
      <w:pPr>
        <w:spacing w:after="0" w:line="304"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(Former name or former address, if changed since last report)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170815</wp:posOffset>
            </wp:positionV>
            <wp:extent cx="1474470"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392" w:lineRule="exact"/>
        <w:rPr>
          <w:sz w:val="24"/>
          <w:szCs w:val="24"/>
          <w:color w:val="auto"/>
        </w:rPr>
      </w:pPr>
    </w:p>
    <w:p>
      <w:pPr>
        <w:ind w:right="480"/>
        <w:spacing w:after="0" w:line="282" w:lineRule="auto"/>
        <w:rPr>
          <w:sz w:val="20"/>
          <w:szCs w:val="20"/>
          <w:color w:val="auto"/>
        </w:rPr>
      </w:pPr>
      <w:r>
        <w:rPr>
          <w:rFonts w:ascii="Times New Roman" w:cs="Times New Roman" w:eastAsia="Times New Roman" w:hAnsi="Times New Roman"/>
          <w:sz w:val="18"/>
          <w:szCs w:val="18"/>
          <w:color w:val="auto"/>
        </w:rPr>
        <w:t>Check the appropriate box below if the Form 8-K filing is intended to simultaneously satisfy the filing obligation of the registrant under any of the following provisions (</w:t>
      </w:r>
      <w:r>
        <w:rPr>
          <w:rFonts w:ascii="Times New Roman" w:cs="Times New Roman" w:eastAsia="Times New Roman" w:hAnsi="Times New Roman"/>
          <w:sz w:val="18"/>
          <w:szCs w:val="18"/>
          <w:u w:val="single" w:color="auto"/>
          <w:color w:val="auto"/>
        </w:rPr>
        <w:t>see</w:t>
      </w:r>
      <w:r>
        <w:rPr>
          <w:rFonts w:ascii="Times New Roman" w:cs="Times New Roman" w:eastAsia="Times New Roman" w:hAnsi="Times New Roman"/>
          <w:sz w:val="18"/>
          <w:szCs w:val="18"/>
          <w:color w:val="auto"/>
        </w:rPr>
        <w:t xml:space="preserve"> General Instruction A.2. below):</w:t>
      </w:r>
    </w:p>
    <w:p>
      <w:pPr>
        <w:spacing w:after="0" w:line="67" w:lineRule="exact"/>
        <w:rPr>
          <w:sz w:val="24"/>
          <w:szCs w:val="24"/>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Written communications pursuant to Rule 425 under the Securities Act (17 CFR 230.425)</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Soliciting material pursuant to Rule 14a-12 under the Exchange Act (17 CFR 240.14a-12)</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14d-2(b) under the Exchange Act (17 CFR 240.14d-2(b))</w:t>
      </w:r>
    </w:p>
    <w:p>
      <w:pPr>
        <w:spacing w:after="0" w:line="130" w:lineRule="exact"/>
        <w:rPr>
          <w:rFonts w:ascii="MS PGothic" w:cs="MS PGothic" w:eastAsia="MS PGothic" w:hAnsi="MS PGothic"/>
          <w:sz w:val="18"/>
          <w:szCs w:val="18"/>
          <w:color w:val="auto"/>
        </w:rPr>
      </w:pPr>
    </w:p>
    <w:p>
      <w:pPr>
        <w:ind w:right="2020" w:firstLine="428"/>
        <w:spacing w:after="0" w:line="411" w:lineRule="auto"/>
        <w:tabs>
          <w:tab w:leader="none" w:pos="972"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13e-4(c) under the Exchange Act (17 CFR 240.13e-4(c)) Securities registered pursuant to Section 12(b) of the Act:</w:t>
      </w:r>
    </w:p>
    <w:tbl>
      <w:tblPr>
        <w:tblLayout w:type="fixed"/>
        <w:tblInd w:w="0" w:type="dxa"/>
        <w:tblCellMar>
          <w:top w:w="0" w:type="dxa"/>
          <w:left w:w="0" w:type="dxa"/>
          <w:bottom w:w="0" w:type="dxa"/>
          <w:right w:w="0" w:type="dxa"/>
        </w:tblCellMar>
      </w:tblPr>
      <w:tr>
        <w:trPr>
          <w:trHeight w:val="149"/>
        </w:trPr>
        <w:tc>
          <w:tcPr>
            <w:tcW w:w="3860" w:type="dxa"/>
            <w:vAlign w:val="bottom"/>
            <w:gridSpan w:val="2"/>
            <w:vMerge w:val="restart"/>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Title of Each Class</w:t>
            </w:r>
          </w:p>
        </w:tc>
        <w:tc>
          <w:tcPr>
            <w:tcW w:w="3620" w:type="dxa"/>
            <w:vAlign w:val="bottom"/>
            <w:gridSpan w:val="2"/>
          </w:tcPr>
          <w:p>
            <w:pPr>
              <w:ind w:left="1520"/>
              <w:spacing w:after="0" w:line="149" w:lineRule="exact"/>
              <w:rPr>
                <w:sz w:val="20"/>
                <w:szCs w:val="20"/>
                <w:color w:val="auto"/>
              </w:rPr>
            </w:pPr>
            <w:r>
              <w:rPr>
                <w:rFonts w:ascii="Times New Roman" w:cs="Times New Roman" w:eastAsia="Times New Roman" w:hAnsi="Times New Roman"/>
                <w:sz w:val="14"/>
                <w:szCs w:val="14"/>
                <w:b w:val="1"/>
                <w:bCs w:val="1"/>
                <w:color w:val="auto"/>
              </w:rPr>
              <w:t>Trading</w:t>
            </w:r>
          </w:p>
        </w:tc>
        <w:tc>
          <w:tcPr>
            <w:tcW w:w="354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Name of Each Exchange</w:t>
            </w:r>
          </w:p>
        </w:tc>
        <w:tc>
          <w:tcPr>
            <w:tcW w:w="0" w:type="dxa"/>
            <w:vAlign w:val="bottom"/>
          </w:tcPr>
          <w:p>
            <w:pPr>
              <w:spacing w:after="0"/>
              <w:rPr>
                <w:sz w:val="1"/>
                <w:szCs w:val="1"/>
                <w:color w:val="auto"/>
              </w:rPr>
            </w:pPr>
          </w:p>
        </w:tc>
      </w:tr>
      <w:tr>
        <w:trPr>
          <w:trHeight w:val="187"/>
        </w:trPr>
        <w:tc>
          <w:tcPr>
            <w:tcW w:w="3860" w:type="dxa"/>
            <w:vAlign w:val="bottom"/>
            <w:gridSpan w:val="2"/>
            <w:vMerge w:val="continue"/>
          </w:tcPr>
          <w:p>
            <w:pPr>
              <w:spacing w:after="0"/>
              <w:rPr>
                <w:sz w:val="16"/>
                <w:szCs w:val="16"/>
                <w:color w:val="auto"/>
              </w:rPr>
            </w:pP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Symbol</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on which Registered</w:t>
            </w:r>
          </w:p>
        </w:tc>
        <w:tc>
          <w:tcPr>
            <w:tcW w:w="0" w:type="dxa"/>
            <w:vAlign w:val="bottom"/>
          </w:tcPr>
          <w:p>
            <w:pPr>
              <w:spacing w:after="0"/>
              <w:rPr>
                <w:sz w:val="1"/>
                <w:szCs w:val="1"/>
                <w:color w:val="auto"/>
              </w:rPr>
            </w:pPr>
          </w:p>
        </w:tc>
      </w:tr>
      <w:tr>
        <w:trPr>
          <w:trHeight w:val="228"/>
        </w:trPr>
        <w:tc>
          <w:tcPr>
            <w:tcW w:w="37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w w:val="99"/>
              </w:rPr>
              <w:t>Class A common stock, par value $0.001 per share</w:t>
            </w:r>
          </w:p>
        </w:tc>
        <w:tc>
          <w:tcPr>
            <w:tcW w:w="120" w:type="dxa"/>
            <w:vAlign w:val="bottom"/>
          </w:tcPr>
          <w:p>
            <w:pPr>
              <w:spacing w:after="0"/>
              <w:rPr>
                <w:sz w:val="19"/>
                <w:szCs w:val="19"/>
                <w:color w:val="auto"/>
              </w:rPr>
            </w:pPr>
          </w:p>
        </w:tc>
        <w:tc>
          <w:tcPr>
            <w:tcW w:w="3520" w:type="dxa"/>
            <w:vAlign w:val="bottom"/>
            <w:tcBorders>
              <w:top w:val="single" w:sz="8" w:color="auto"/>
            </w:tcBorders>
          </w:tcPr>
          <w:p>
            <w:pPr>
              <w:ind w:left="1520"/>
              <w:spacing w:after="0"/>
              <w:rPr>
                <w:sz w:val="20"/>
                <w:szCs w:val="20"/>
                <w:color w:val="auto"/>
              </w:rPr>
            </w:pPr>
            <w:r>
              <w:rPr>
                <w:rFonts w:ascii="Times New Roman" w:cs="Times New Roman" w:eastAsia="Times New Roman" w:hAnsi="Times New Roman"/>
                <w:sz w:val="18"/>
                <w:szCs w:val="18"/>
                <w:color w:val="auto"/>
              </w:rPr>
              <w:t>MSTR</w:t>
            </w:r>
          </w:p>
        </w:tc>
        <w:tc>
          <w:tcPr>
            <w:tcW w:w="100" w:type="dxa"/>
            <w:vAlign w:val="bottom"/>
          </w:tcPr>
          <w:p>
            <w:pPr>
              <w:spacing w:after="0"/>
              <w:rPr>
                <w:sz w:val="19"/>
                <w:szCs w:val="19"/>
                <w:color w:val="auto"/>
              </w:rPr>
            </w:pPr>
          </w:p>
        </w:tc>
        <w:tc>
          <w:tcPr>
            <w:tcW w:w="35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rPr>
              <w:t>The Nasdaq Global Select Market</w:t>
            </w:r>
          </w:p>
        </w:tc>
        <w:tc>
          <w:tcPr>
            <w:tcW w:w="0" w:type="dxa"/>
            <w:vAlign w:val="bottom"/>
          </w:tcPr>
          <w:p>
            <w:pPr>
              <w:spacing w:after="0"/>
              <w:rPr>
                <w:sz w:val="1"/>
                <w:szCs w:val="1"/>
                <w:color w:val="auto"/>
              </w:rPr>
            </w:pPr>
          </w:p>
        </w:tc>
      </w:tr>
    </w:tbl>
    <w:p>
      <w:pPr>
        <w:spacing w:after="0" w:line="112" w:lineRule="exact"/>
        <w:rPr>
          <w:sz w:val="24"/>
          <w:szCs w:val="24"/>
          <w:color w:val="auto"/>
        </w:rPr>
      </w:pPr>
    </w:p>
    <w:p>
      <w:pPr>
        <w:ind w:right="300"/>
        <w:spacing w:after="0" w:line="282" w:lineRule="auto"/>
        <w:rPr>
          <w:sz w:val="20"/>
          <w:szCs w:val="20"/>
          <w:color w:val="auto"/>
        </w:rPr>
      </w:pPr>
      <w:r>
        <w:rPr>
          <w:rFonts w:ascii="Times New Roman" w:cs="Times New Roman" w:eastAsia="Times New Roman" w:hAnsi="Times New Roman"/>
          <w:sz w:val="18"/>
          <w:szCs w:val="18"/>
          <w:color w:val="auto"/>
        </w:rPr>
        <w:t>Indicate by check mark whether the registrant is an emerging growth company as defined in Rule 405 of the Securities Act of 1933 (§230.405 of this chapter) or Rule 12b-2 of the Securities Exchange Act of 1934 (§240.12b-2 of this chapter).</w:t>
      </w:r>
    </w:p>
    <w:p>
      <w:pPr>
        <w:spacing w:after="0" w:line="53" w:lineRule="exact"/>
        <w:rPr>
          <w:sz w:val="24"/>
          <w:szCs w:val="24"/>
          <w:color w:val="auto"/>
        </w:rPr>
      </w:pPr>
    </w:p>
    <w:p>
      <w:pPr>
        <w:spacing w:after="0" w:line="207" w:lineRule="exact"/>
        <w:rPr>
          <w:sz w:val="20"/>
          <w:szCs w:val="20"/>
          <w:color w:val="auto"/>
        </w:rPr>
      </w:pPr>
      <w:r>
        <w:rPr>
          <w:rFonts w:ascii="Times New Roman" w:cs="Times New Roman" w:eastAsia="Times New Roman" w:hAnsi="Times New Roman"/>
          <w:sz w:val="18"/>
          <w:szCs w:val="18"/>
          <w:color w:val="auto"/>
        </w:rPr>
        <w:t xml:space="preserve">Emerging growth company  </w:t>
      </w:r>
      <w:r>
        <w:rPr>
          <w:rFonts w:ascii="MS PGothic" w:cs="MS PGothic" w:eastAsia="MS PGothic" w:hAnsi="MS PGothic"/>
          <w:sz w:val="18"/>
          <w:szCs w:val="18"/>
          <w:color w:val="auto"/>
        </w:rPr>
        <w:t>☐</w:t>
      </w:r>
    </w:p>
    <w:p>
      <w:pPr>
        <w:spacing w:after="0" w:line="185" w:lineRule="exact"/>
        <w:rPr>
          <w:sz w:val="24"/>
          <w:szCs w:val="24"/>
          <w:color w:val="auto"/>
        </w:rPr>
      </w:pPr>
    </w:p>
    <w:p>
      <w:pPr>
        <w:ind w:right="300"/>
        <w:spacing w:after="0" w:line="239" w:lineRule="exact"/>
        <w:rPr>
          <w:sz w:val="20"/>
          <w:szCs w:val="20"/>
          <w:color w:val="auto"/>
        </w:rPr>
      </w:pPr>
      <w:r>
        <w:rPr>
          <w:rFonts w:ascii="Times New Roman" w:cs="Times New Roman" w:eastAsia="Times New Roman" w:hAnsi="Times New Roman"/>
          <w:sz w:val="18"/>
          <w:szCs w:val="18"/>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8"/>
          <w:szCs w:val="18"/>
          <w:color w:val="auto"/>
        </w:rPr>
        <w: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-1905</wp:posOffset>
            </wp:positionH>
            <wp:positionV relativeFrom="paragraph">
              <wp:posOffset>93980</wp:posOffset>
            </wp:positionV>
            <wp:extent cx="6995160" cy="889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6995160" cy="8890"/>
                    </a:xfrm>
                    <a:prstGeom prst="rect">
                      <a:avLst/>
                    </a:prstGeom>
                    <a:noFill/>
                  </pic:spPr>
                </pic:pic>
              </a:graphicData>
            </a:graphic>
          </wp:anchor>
        </w:drawing>
        <w:drawing>
          <wp:anchor simplePos="0" relativeHeight="251657728" behindDoc="1" locked="0" layoutInCell="0" allowOverlap="1">
            <wp:simplePos x="0" y="0"/>
            <wp:positionH relativeFrom="column">
              <wp:posOffset>-1905</wp:posOffset>
            </wp:positionH>
            <wp:positionV relativeFrom="paragraph">
              <wp:posOffset>137160</wp:posOffset>
            </wp:positionV>
            <wp:extent cx="6995160" cy="889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6995160" cy="8890"/>
                    </a:xfrm>
                    <a:prstGeom prst="rect">
                      <a:avLst/>
                    </a:prstGeom>
                    <a:noFill/>
                  </pic:spPr>
                </pic:pic>
              </a:graphicData>
            </a:graphic>
          </wp:anchor>
        </w:drawing>
      </w:r>
    </w:p>
    <w:p>
      <w:pPr>
        <w:sectPr>
          <w:pgSz w:w="11900" w:h="16838" w:orient="portrait"/>
          <w:cols w:equalWidth="0" w:num="1">
            <w:col w:w="11020"/>
          </w:cols>
          <w:pgMar w:left="440" w:top="376" w:right="439" w:bottom="1440" w:gutter="0" w:footer="0" w:header="0"/>
          <w:type w:val="continuous"/>
        </w:sectPr>
      </w:pPr>
    </w:p>
    <w:bookmarkStart w:id="1" w:name="page2"/>
    <w:bookmarkEnd w:id="1"/>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7174865" cy="55880"/>
                    </a:xfrm>
                    <a:prstGeom prst="rect">
                      <a:avLst/>
                    </a:prstGeom>
                    <a:noFill/>
                  </pic:spPr>
                </pic:pic>
              </a:graphicData>
            </a:graphic>
          </wp:anchor>
        </w:drawing>
        <w:t>Item 1.01</w:t>
      </w:r>
      <w:r>
        <w:rPr>
          <w:sz w:val="20"/>
          <w:szCs w:val="20"/>
          <w:color w:val="auto"/>
        </w:rPr>
        <w:tab/>
      </w:r>
      <w:r>
        <w:rPr>
          <w:rFonts w:ascii="Times New Roman" w:cs="Times New Roman" w:eastAsia="Times New Roman" w:hAnsi="Times New Roman"/>
          <w:sz w:val="18"/>
          <w:szCs w:val="18"/>
          <w:b w:val="1"/>
          <w:bCs w:val="1"/>
          <w:color w:val="auto"/>
        </w:rPr>
        <w:t>Entry into a Material Definitive Agreement.</w:t>
      </w:r>
    </w:p>
    <w:p>
      <w:pPr>
        <w:spacing w:after="0" w:line="11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Convertible Note Offering</w:t>
      </w:r>
    </w:p>
    <w:p>
      <w:pPr>
        <w:spacing w:after="0" w:line="119" w:lineRule="exact"/>
        <w:rPr>
          <w:sz w:val="20"/>
          <w:szCs w:val="20"/>
          <w:color w:val="auto"/>
        </w:rPr>
      </w:pPr>
    </w:p>
    <w:p>
      <w:pPr>
        <w:spacing w:after="0" w:line="254" w:lineRule="auto"/>
        <w:rPr>
          <w:sz w:val="20"/>
          <w:szCs w:val="20"/>
          <w:color w:val="auto"/>
        </w:rPr>
      </w:pPr>
      <w:r>
        <w:rPr>
          <w:rFonts w:ascii="Times New Roman" w:cs="Times New Roman" w:eastAsia="Times New Roman" w:hAnsi="Times New Roman"/>
          <w:sz w:val="18"/>
          <w:szCs w:val="18"/>
          <w:color w:val="auto"/>
        </w:rPr>
        <w:t>On June 18, 2024, MicroStrategy Incorporated (the “Company”) completed its previously announced private offering of 2.25% convertible senior notes due 2032 (the “notes”). The notes were sold under a purchase agreement, dated as of June 13, 2024, entered into by and between the Company and Barclays Capital Inc., as representative of the several initial purchasers named therein (the “Initial Purchasers”), for resale to persons reasonably believed to be qualified institutional buyers pursuant to Rule 144A under the Securities Act of 1933, as amended (the “Securities Act”). The aggregate principal amount of the notes sold in the offering was $800 million, which includes $100 million aggregate principal amount of notes issued pursuant to an option to purchase, within a 13-day period beginning on, and including, the date on which the notes were first issued, granted to the Initial Purchasers under the purchase agreement, which the Initial Purchasers exercised in full on June 17, 2024 and which additional purchase was completed on June 18, 2024.</w:t>
      </w:r>
    </w:p>
    <w:p>
      <w:pPr>
        <w:spacing w:after="0" w:line="192" w:lineRule="exact"/>
        <w:rPr>
          <w:sz w:val="20"/>
          <w:szCs w:val="20"/>
          <w:color w:val="auto"/>
        </w:rPr>
      </w:pPr>
    </w:p>
    <w:p>
      <w:pPr>
        <w:ind w:right="240"/>
        <w:spacing w:after="0" w:line="282" w:lineRule="auto"/>
        <w:rPr>
          <w:sz w:val="20"/>
          <w:szCs w:val="20"/>
          <w:color w:val="auto"/>
        </w:rPr>
      </w:pPr>
      <w:r>
        <w:rPr>
          <w:rFonts w:ascii="Times New Roman" w:cs="Times New Roman" w:eastAsia="Times New Roman" w:hAnsi="Times New Roman"/>
          <w:sz w:val="18"/>
          <w:szCs w:val="18"/>
          <w:color w:val="auto"/>
        </w:rPr>
        <w:t>The net proceeds from the sale of the notes were approximately $786.0 million after deducting the Initial Purchasers’ discounts and commissions and estimated offering expenses payable by the Company.</w:t>
      </w:r>
    </w:p>
    <w:p>
      <w:pPr>
        <w:spacing w:after="0" w:line="16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Company intends to use the net proceeds from the sale of the notes to acquire additional bitcoin and for general corporate purposes.</w:t>
      </w:r>
    </w:p>
    <w:p>
      <w:pPr>
        <w:spacing w:after="0" w:line="33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Indenture and the Notes</w:t>
      </w:r>
    </w:p>
    <w:p>
      <w:pPr>
        <w:spacing w:after="0" w:line="119" w:lineRule="exact"/>
        <w:rPr>
          <w:sz w:val="20"/>
          <w:szCs w:val="20"/>
          <w:color w:val="auto"/>
        </w:rPr>
      </w:pPr>
    </w:p>
    <w:p>
      <w:pPr>
        <w:ind w:right="100"/>
        <w:spacing w:after="0" w:line="261" w:lineRule="auto"/>
        <w:rPr>
          <w:sz w:val="20"/>
          <w:szCs w:val="20"/>
          <w:color w:val="auto"/>
        </w:rPr>
      </w:pPr>
      <w:r>
        <w:rPr>
          <w:rFonts w:ascii="Times New Roman" w:cs="Times New Roman" w:eastAsia="Times New Roman" w:hAnsi="Times New Roman"/>
          <w:sz w:val="18"/>
          <w:szCs w:val="18"/>
          <w:color w:val="auto"/>
        </w:rPr>
        <w:t>On June 17, 2024, the Company entered into an indenture (the “Indenture”) with respect to the notes with U.S. Bank Trust Company, National Association, as trustee (the “Trustee”). The notes are senior unsecured obligations of the Company and bear interest at a rate of 2.25% per year payable semiannually in arrears on June 15 and December 15 of each year, beginning on December 15, 2024. The notes will mature on June 15, 2032, unless earlier converted, redeemed or repurchased in accordance with their terms.</w:t>
      </w:r>
    </w:p>
    <w:p>
      <w:pPr>
        <w:spacing w:after="0" w:line="180" w:lineRule="exact"/>
        <w:rPr>
          <w:sz w:val="20"/>
          <w:szCs w:val="20"/>
          <w:color w:val="auto"/>
        </w:rPr>
      </w:pPr>
    </w:p>
    <w:p>
      <w:pPr>
        <w:ind w:right="40"/>
        <w:spacing w:after="0" w:line="255" w:lineRule="auto"/>
        <w:rPr>
          <w:sz w:val="20"/>
          <w:szCs w:val="20"/>
          <w:color w:val="auto"/>
        </w:rPr>
      </w:pPr>
      <w:r>
        <w:rPr>
          <w:rFonts w:ascii="Times New Roman" w:cs="Times New Roman" w:eastAsia="Times New Roman" w:hAnsi="Times New Roman"/>
          <w:sz w:val="18"/>
          <w:szCs w:val="18"/>
          <w:color w:val="auto"/>
        </w:rPr>
        <w:t>The notes are convertible into shares of the Company’s class A common stock at an initial conversion rate of 0.4894 shares per $1,000 principal amount of notes (equivalent to an initial conversion price of approximately $2,043.32 per share of class A common stock). The initial conversion price represents a premium of approximately 35% above the U.S. composite volume weighted average price of the Company’s class A common stock from 9:30 a.m. through 4:00 p.m. Eastern Daylight Time on Thursday, June 13, 2024, which was $1,513.46. The conversion rate is subject to customary anti-dilution adjustments. In addition, following certain events that occur prior to the maturity date or if the Company delivers a notice of redemption, the Company will increase the conversion rate for a holder who elects to convert its notes in connection with such corporate event or notice of redemption, as the case may be, in certain circumstances as provided in the Indenture.</w:t>
      </w:r>
    </w:p>
    <w:p>
      <w:pPr>
        <w:spacing w:after="0" w:line="189" w:lineRule="exact"/>
        <w:rPr>
          <w:sz w:val="20"/>
          <w:szCs w:val="20"/>
          <w:color w:val="auto"/>
        </w:rPr>
      </w:pPr>
    </w:p>
    <w:p>
      <w:pPr>
        <w:ind w:right="60"/>
        <w:spacing w:after="0" w:line="261" w:lineRule="auto"/>
        <w:rPr>
          <w:sz w:val="20"/>
          <w:szCs w:val="20"/>
          <w:color w:val="auto"/>
        </w:rPr>
      </w:pPr>
      <w:r>
        <w:rPr>
          <w:rFonts w:ascii="Times New Roman" w:cs="Times New Roman" w:eastAsia="Times New Roman" w:hAnsi="Times New Roman"/>
          <w:sz w:val="18"/>
          <w:szCs w:val="18"/>
          <w:color w:val="auto"/>
        </w:rPr>
        <w:t>Prior to December 15, 2031, the notes are convertible only upon the occurrence of certain events. On or after December 15, 2031 until the close of business on the second scheduled trading day immediately preceding the maturity date of the notes, holders may convert the notes at any time. Upon conversion of the notes, the Company will pay or deliver, as the case may be, cash, shares of the Company’s class A common stock or a combination of cash and shares of class A common stock, at the Company’s election.</w:t>
      </w:r>
    </w:p>
    <w:p>
      <w:pPr>
        <w:spacing w:after="0" w:line="180" w:lineRule="exact"/>
        <w:rPr>
          <w:sz w:val="20"/>
          <w:szCs w:val="20"/>
          <w:color w:val="auto"/>
        </w:rPr>
      </w:pPr>
    </w:p>
    <w:p>
      <w:pPr>
        <w:ind w:right="120"/>
        <w:spacing w:after="0" w:line="256" w:lineRule="auto"/>
        <w:rPr>
          <w:sz w:val="20"/>
          <w:szCs w:val="20"/>
          <w:color w:val="auto"/>
        </w:rPr>
      </w:pPr>
      <w:r>
        <w:rPr>
          <w:rFonts w:ascii="Times New Roman" w:cs="Times New Roman" w:eastAsia="Times New Roman" w:hAnsi="Times New Roman"/>
          <w:sz w:val="18"/>
          <w:szCs w:val="18"/>
          <w:color w:val="auto"/>
        </w:rPr>
        <w:t>Prior to June 20, 2029, the Company may not redeem the notes. The Company may redeem for cash all or any portion of the notes, at its option, on or after June 20, 2029 if the last reported sale price of the Company’s class A common stock has been at least 130% of the conversion price then in effect for at least 20 trading days (whether or not consecutive), including the trading day immediately preceding the date on which the Company provides a notice of redemption, during any 30 consecutive trading day period ending on, and including, the trading day immediately preceding the date on which the Company provides notice of redemption. The redemption price will be equal to 100% of the principal amount of the notes to be redeemed, plus accrued and unpaid interest, if any, to, but excluding, the redemption date.</w:t>
      </w:r>
    </w:p>
    <w:p>
      <w:pPr>
        <w:sectPr>
          <w:pgSz w:w="11900" w:h="16838" w:orient="portrait"/>
          <w:cols w:equalWidth="0" w:num="1">
            <w:col w:w="10980"/>
          </w:cols>
          <w:pgMar w:left="440" w:top="293" w:right="479" w:bottom="1440" w:gutter="0" w:footer="0" w:header="0"/>
        </w:sectPr>
      </w:pPr>
    </w:p>
    <w:bookmarkStart w:id="2" w:name="page3"/>
    <w:bookmarkEnd w:id="2"/>
    <w:p>
      <w:pPr>
        <w:ind w:right="320"/>
        <w:spacing w:after="0" w:line="28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24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7174865" cy="55245"/>
                    </a:xfrm>
                    <a:prstGeom prst="rect">
                      <a:avLst/>
                    </a:prstGeom>
                    <a:noFill/>
                  </pic:spPr>
                </pic:pic>
              </a:graphicData>
            </a:graphic>
          </wp:anchor>
        </w:drawing>
        <w:t>Holders have the right to require the Company to repurchase for cash all or any portion of their notes on June 15, 2029 at a repurchase price equal to 100% of the principal amount of the notes to be repurchased, plus any accrued and unpaid interest to, but excluding the repurchase date.</w:t>
      </w:r>
    </w:p>
    <w:p>
      <w:pPr>
        <w:spacing w:after="0" w:line="162" w:lineRule="exact"/>
        <w:rPr>
          <w:sz w:val="20"/>
          <w:szCs w:val="20"/>
          <w:color w:val="auto"/>
        </w:rPr>
      </w:pPr>
    </w:p>
    <w:p>
      <w:pPr>
        <w:jc w:val="both"/>
        <w:ind w:right="100"/>
        <w:spacing w:after="0" w:line="266" w:lineRule="auto"/>
        <w:rPr>
          <w:sz w:val="20"/>
          <w:szCs w:val="20"/>
          <w:color w:val="auto"/>
        </w:rPr>
      </w:pPr>
      <w:r>
        <w:rPr>
          <w:rFonts w:ascii="Times New Roman" w:cs="Times New Roman" w:eastAsia="Times New Roman" w:hAnsi="Times New Roman"/>
          <w:sz w:val="18"/>
          <w:szCs w:val="18"/>
          <w:color w:val="auto"/>
        </w:rPr>
        <w:t>If the Company undergoes a “fundamental change,” as defined in the Indenture, prior to maturity, subject to certain conditions, holders may require the Company to repurchase for cash all or any portion of their notes at a fundamental change repurchase price equal to 100% of the principal amount of the notes to be repurchased, plus any accrued and unpaid interest to, but excluding, the fundamental change repurchase date.</w:t>
      </w:r>
    </w:p>
    <w:p>
      <w:pPr>
        <w:spacing w:after="0" w:line="176" w:lineRule="exact"/>
        <w:rPr>
          <w:sz w:val="20"/>
          <w:szCs w:val="20"/>
          <w:color w:val="auto"/>
        </w:rPr>
      </w:pPr>
    </w:p>
    <w:p>
      <w:pPr>
        <w:ind w:right="120"/>
        <w:spacing w:after="0" w:line="266" w:lineRule="auto"/>
        <w:rPr>
          <w:sz w:val="20"/>
          <w:szCs w:val="20"/>
          <w:color w:val="auto"/>
        </w:rPr>
      </w:pPr>
      <w:r>
        <w:rPr>
          <w:rFonts w:ascii="Times New Roman" w:cs="Times New Roman" w:eastAsia="Times New Roman" w:hAnsi="Times New Roman"/>
          <w:sz w:val="18"/>
          <w:szCs w:val="18"/>
          <w:color w:val="auto"/>
        </w:rPr>
        <w:t>The Indenture contains customary terms and covenants, including that upon certain events of default occurring and continuing, either the Trustee or the holders of at least 25% in principal amount of the outstanding notes may declare 100% of the principal of, and accrued and unpaid special interest, if any, on, all the notes to be due and payable.</w:t>
      </w:r>
    </w:p>
    <w:p>
      <w:pPr>
        <w:spacing w:after="0" w:line="176" w:lineRule="exact"/>
        <w:rPr>
          <w:sz w:val="20"/>
          <w:szCs w:val="20"/>
          <w:color w:val="auto"/>
        </w:rPr>
      </w:pPr>
    </w:p>
    <w:p>
      <w:pPr>
        <w:ind w:right="20"/>
        <w:spacing w:after="0" w:line="266" w:lineRule="auto"/>
        <w:rPr>
          <w:sz w:val="20"/>
          <w:szCs w:val="20"/>
          <w:color w:val="auto"/>
        </w:rPr>
      </w:pPr>
      <w:r>
        <w:rPr>
          <w:rFonts w:ascii="Times New Roman" w:cs="Times New Roman" w:eastAsia="Times New Roman" w:hAnsi="Times New Roman"/>
          <w:sz w:val="18"/>
          <w:szCs w:val="18"/>
          <w:color w:val="auto"/>
        </w:rPr>
        <w:t>The foregoing description of the Indenture and the notes does not purport to be complete and is qualified in its entirety by reference to the full text of the Indenture (and the form of note included therein), a copy of which is filed with this Current Report on Form 8-K as Exhibit 4.1 hereto and is hereby incorporated herein by reference.</w:t>
      </w:r>
    </w:p>
    <w:p>
      <w:pPr>
        <w:spacing w:after="0" w:line="320" w:lineRule="exact"/>
        <w:rPr>
          <w:sz w:val="20"/>
          <w:szCs w:val="20"/>
          <w:color w:val="auto"/>
        </w:rPr>
      </w:pPr>
    </w:p>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t>Item 2.03</w:t>
      </w:r>
      <w:r>
        <w:rPr>
          <w:sz w:val="20"/>
          <w:szCs w:val="20"/>
          <w:color w:val="auto"/>
        </w:rPr>
        <w:tab/>
      </w:r>
      <w:r>
        <w:rPr>
          <w:rFonts w:ascii="Times New Roman" w:cs="Times New Roman" w:eastAsia="Times New Roman" w:hAnsi="Times New Roman"/>
          <w:sz w:val="18"/>
          <w:szCs w:val="18"/>
          <w:b w:val="1"/>
          <w:bCs w:val="1"/>
          <w:color w:val="auto"/>
        </w:rPr>
        <w:t>Creation of a Direct Financial Obligation or an Obligation under an Off-Balance Sheet Arrangement of a Registrant.</w:t>
      </w:r>
    </w:p>
    <w:p>
      <w:pPr>
        <w:spacing w:after="0" w:line="121" w:lineRule="exact"/>
        <w:rPr>
          <w:sz w:val="20"/>
          <w:szCs w:val="20"/>
          <w:color w:val="auto"/>
        </w:rPr>
      </w:pPr>
    </w:p>
    <w:p>
      <w:pPr>
        <w:ind w:right="560"/>
        <w:spacing w:after="0" w:line="282" w:lineRule="auto"/>
        <w:rPr>
          <w:sz w:val="20"/>
          <w:szCs w:val="20"/>
          <w:color w:val="auto"/>
        </w:rPr>
      </w:pPr>
      <w:r>
        <w:rPr>
          <w:rFonts w:ascii="Times New Roman" w:cs="Times New Roman" w:eastAsia="Times New Roman" w:hAnsi="Times New Roman"/>
          <w:sz w:val="18"/>
          <w:szCs w:val="18"/>
          <w:color w:val="auto"/>
        </w:rPr>
        <w:t>The information set forth in Item 1.01 of this Current Report on Form 8-K under the heading “Indenture and the Notes” is incorporated herein by reference.</w:t>
      </w:r>
    </w:p>
    <w:p>
      <w:pPr>
        <w:spacing w:after="0" w:line="306" w:lineRule="exact"/>
        <w:rPr>
          <w:sz w:val="20"/>
          <w:szCs w:val="20"/>
          <w:color w:val="auto"/>
        </w:rPr>
      </w:pPr>
    </w:p>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t>Item 3.02</w:t>
      </w:r>
      <w:r>
        <w:rPr>
          <w:sz w:val="20"/>
          <w:szCs w:val="20"/>
          <w:color w:val="auto"/>
        </w:rPr>
        <w:tab/>
      </w:r>
      <w:r>
        <w:rPr>
          <w:rFonts w:ascii="Times New Roman" w:cs="Times New Roman" w:eastAsia="Times New Roman" w:hAnsi="Times New Roman"/>
          <w:sz w:val="18"/>
          <w:szCs w:val="18"/>
          <w:b w:val="1"/>
          <w:bCs w:val="1"/>
          <w:color w:val="auto"/>
        </w:rPr>
        <w:t>Unregistered Sales of Equity Securities.</w:t>
      </w:r>
    </w:p>
    <w:p>
      <w:pPr>
        <w:spacing w:after="0" w:line="121" w:lineRule="exact"/>
        <w:rPr>
          <w:sz w:val="20"/>
          <w:szCs w:val="20"/>
          <w:color w:val="auto"/>
        </w:rPr>
      </w:pPr>
    </w:p>
    <w:p>
      <w:pPr>
        <w:ind w:right="100"/>
        <w:spacing w:after="0" w:line="282" w:lineRule="auto"/>
        <w:rPr>
          <w:sz w:val="20"/>
          <w:szCs w:val="20"/>
          <w:color w:val="auto"/>
        </w:rPr>
      </w:pPr>
      <w:r>
        <w:rPr>
          <w:rFonts w:ascii="Times New Roman" w:cs="Times New Roman" w:eastAsia="Times New Roman" w:hAnsi="Times New Roman"/>
          <w:sz w:val="18"/>
          <w:szCs w:val="18"/>
          <w:color w:val="auto"/>
        </w:rPr>
        <w:t>The information set forth under Item 1.01 of this Current Report on Form 8-K under the heading “Convertible Note Offering” is incorporated herein by reference.</w:t>
      </w:r>
    </w:p>
    <w:p>
      <w:pPr>
        <w:spacing w:after="0" w:line="162" w:lineRule="exact"/>
        <w:rPr>
          <w:sz w:val="20"/>
          <w:szCs w:val="20"/>
          <w:color w:val="auto"/>
        </w:rPr>
      </w:pPr>
    </w:p>
    <w:p>
      <w:pPr>
        <w:ind w:right="40"/>
        <w:spacing w:after="0" w:line="255" w:lineRule="auto"/>
        <w:rPr>
          <w:sz w:val="20"/>
          <w:szCs w:val="20"/>
          <w:color w:val="auto"/>
        </w:rPr>
      </w:pPr>
      <w:r>
        <w:rPr>
          <w:rFonts w:ascii="Times New Roman" w:cs="Times New Roman" w:eastAsia="Times New Roman" w:hAnsi="Times New Roman"/>
          <w:sz w:val="18"/>
          <w:szCs w:val="18"/>
          <w:color w:val="auto"/>
        </w:rPr>
        <w:t>The Company offered and sold the notes to the Initial Purchasers in reliance on the exemption from the registration requirements provided by Section 4(a)(2) of the Securities Act and the notes were resold only to persons reasonably believed to be qualified institutional buyers pursuant to Rule 144A of the Securities Act. The Company will settle conversions of the notes by paying and/or delivering, as the case may be, cash, shares of the Company’s class A common stock or a combination of cash and shares of the Company’s class A common stock, at the Company’s election. Neither the notes nor the underlying shares of class A common stock have been registered under the Securities Act and may not be offered or sold in the United States absent registration or an applicable exemption from registration requirements. The Company does not intend to file a shelf registration statement for the resale of the notes or any class A common stock issuable upon conversion of the notes.</w:t>
      </w:r>
    </w:p>
    <w:p>
      <w:pPr>
        <w:spacing w:after="0" w:line="333" w:lineRule="exact"/>
        <w:rPr>
          <w:sz w:val="20"/>
          <w:szCs w:val="20"/>
          <w:color w:val="auto"/>
        </w:rPr>
      </w:pPr>
    </w:p>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t>Item 8.01</w:t>
      </w:r>
      <w:r>
        <w:rPr>
          <w:sz w:val="20"/>
          <w:szCs w:val="20"/>
          <w:color w:val="auto"/>
        </w:rPr>
        <w:tab/>
      </w:r>
      <w:r>
        <w:rPr>
          <w:rFonts w:ascii="Times New Roman" w:cs="Times New Roman" w:eastAsia="Times New Roman" w:hAnsi="Times New Roman"/>
          <w:sz w:val="18"/>
          <w:szCs w:val="18"/>
          <w:b w:val="1"/>
          <w:bCs w:val="1"/>
          <w:color w:val="auto"/>
        </w:rPr>
        <w:t>Other Events.</w:t>
      </w:r>
    </w:p>
    <w:p>
      <w:pPr>
        <w:spacing w:after="0" w:line="121" w:lineRule="exact"/>
        <w:rPr>
          <w:sz w:val="20"/>
          <w:szCs w:val="20"/>
          <w:color w:val="auto"/>
        </w:rPr>
      </w:pPr>
    </w:p>
    <w:p>
      <w:pPr>
        <w:spacing w:after="0" w:line="282" w:lineRule="auto"/>
        <w:rPr>
          <w:sz w:val="20"/>
          <w:szCs w:val="20"/>
          <w:color w:val="auto"/>
        </w:rPr>
      </w:pPr>
      <w:r>
        <w:rPr>
          <w:rFonts w:ascii="Times New Roman" w:cs="Times New Roman" w:eastAsia="Times New Roman" w:hAnsi="Times New Roman"/>
          <w:sz w:val="18"/>
          <w:szCs w:val="18"/>
          <w:color w:val="auto"/>
        </w:rPr>
        <w:t>On June 20, 2024, the Company issued a press release announcing the closing of the notes offering. A copy of the press release is filed as Exhibit 99.1 to this Current Report on Form 8-K and is incorporated herein by reference.</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Cautionary Note Regarding Forward-Looking Statements</w:t>
      </w:r>
    </w:p>
    <w:p>
      <w:pPr>
        <w:spacing w:after="0" w:line="121" w:lineRule="exact"/>
        <w:rPr>
          <w:sz w:val="20"/>
          <w:szCs w:val="20"/>
          <w:color w:val="auto"/>
        </w:rPr>
      </w:pPr>
    </w:p>
    <w:p>
      <w:pPr>
        <w:ind w:right="320"/>
        <w:spacing w:after="0" w:line="256" w:lineRule="auto"/>
        <w:rPr>
          <w:sz w:val="20"/>
          <w:szCs w:val="20"/>
          <w:color w:val="auto"/>
        </w:rPr>
      </w:pPr>
      <w:r>
        <w:rPr>
          <w:rFonts w:ascii="Times New Roman" w:cs="Times New Roman" w:eastAsia="Times New Roman" w:hAnsi="Times New Roman"/>
          <w:sz w:val="18"/>
          <w:szCs w:val="18"/>
          <w:color w:val="auto"/>
        </w:rPr>
        <w:t>Statements in this Current Report on Form 8-K and the exhibits attached hereto about future expectations, plans, and prospects, as well as any other statements regarding matters that are not historical facts, may constitute “forward-looking statements” within the meaning of The Private Securities Litigation Reform Act of 1995. These statements include, but are not limited to, statements relating to MicroStrategy’s use of the net proceeds of the offering. The words “anticipate,” “believe,” “continue,” “could,” “estimate,” “expect,” “intend,” “may,” “plan,” “potential,” “predict,” “project,” “should,” “target,” “will,” “would,” and similar expressions are intended to identify forward-looking statements, although not all forward-looking statements contain these identifying words. Actual results may</w:t>
      </w:r>
    </w:p>
    <w:p>
      <w:pPr>
        <w:sectPr>
          <w:pgSz w:w="11900" w:h="16838" w:orient="portrait"/>
          <w:cols w:equalWidth="0" w:num="1">
            <w:col w:w="11000"/>
          </w:cols>
          <w:pgMar w:left="440" w:top="297" w:right="459" w:bottom="1440" w:gutter="0" w:footer="0" w:header="0"/>
        </w:sectPr>
      </w:pPr>
    </w:p>
    <w:bookmarkStart w:id="3" w:name="page4"/>
    <w:bookmarkEnd w:id="3"/>
    <w:p>
      <w:pPr>
        <w:ind w:left="4"/>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extLst>
                    </a:blip>
                    <a:srcRect/>
                    <a:stretch>
                      <a:fillRect/>
                    </a:stretch>
                  </pic:blipFill>
                  <pic:spPr bwMode="auto">
                    <a:xfrm>
                      <a:off x="0" y="0"/>
                      <a:ext cx="7174865" cy="55880"/>
                    </a:xfrm>
                    <a:prstGeom prst="rect">
                      <a:avLst/>
                    </a:prstGeom>
                    <a:noFill/>
                  </pic:spPr>
                </pic:pic>
              </a:graphicData>
            </a:graphic>
          </wp:anchor>
        </w:drawing>
        <w:t>differ materially from those indicated by such forward-looking statements as a result of various important factors, including the factors discussed in the “Risk Factors” section of MicroStrategy’s Quarterly Report on Form 10-Q filed with the Securities and Exchange Commission on May 1, 2024, and the risks described in other filings that MicroStrategy may make with the Securities and Exchange Commission. Any forward-looking statements contained in this Current Report on Form 8-K speak only as of the date hereof, and MicroStrategy specifically disclaims any obligation to update any forward-looking statement, whether as a result of new information, future events, or otherwise.</w:t>
      </w:r>
    </w:p>
    <w:p>
      <w:pPr>
        <w:sectPr>
          <w:pgSz w:w="11900" w:h="16838" w:orient="portrait"/>
          <w:cols w:equalWidth="0" w:num="1">
            <w:col w:w="10944"/>
          </w:cols>
          <w:pgMar w:left="436" w:top="297" w:right="519" w:bottom="1440" w:gutter="0" w:footer="0" w:header="0"/>
        </w:sectPr>
      </w:pPr>
    </w:p>
    <w:p>
      <w:pPr>
        <w:spacing w:after="0" w:line="328"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b w:val="1"/>
          <w:bCs w:val="1"/>
          <w:color w:val="auto"/>
        </w:rPr>
        <w:t>Item 9.01.</w:t>
      </w:r>
    </w:p>
    <w:p>
      <w:pPr>
        <w:spacing w:after="0" w:line="20" w:lineRule="exact"/>
        <w:rPr>
          <w:sz w:val="20"/>
          <w:szCs w:val="20"/>
          <w:color w:val="auto"/>
        </w:rPr>
      </w:pPr>
      <w:r>
        <w:rPr>
          <w:sz w:val="20"/>
          <w:szCs w:val="20"/>
          <w:color w:val="auto"/>
        </w:rPr>
        <w:br w:type="column"/>
      </w:r>
    </w:p>
    <w:p>
      <w:pPr>
        <w:spacing w:after="0" w:line="308"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Financial Statements and Exhibits.</w:t>
      </w:r>
    </w:p>
    <w:p>
      <w:pPr>
        <w:spacing w:after="0" w:line="132" w:lineRule="exact"/>
        <w:rPr>
          <w:sz w:val="20"/>
          <w:szCs w:val="20"/>
          <w:color w:val="auto"/>
        </w:rPr>
      </w:pPr>
    </w:p>
    <w:p>
      <w:pPr>
        <w:sectPr>
          <w:pgSz w:w="11900" w:h="16838" w:orient="portrait"/>
          <w:cols w:equalWidth="0" w:num="2">
            <w:col w:w="764" w:space="440"/>
            <w:col w:w="9740"/>
          </w:cols>
          <w:pgMar w:left="436" w:top="297" w:right="519" w:bottom="1440" w:gutter="0" w:footer="0" w:header="0"/>
          <w:type w:val="continuous"/>
        </w:sectPr>
      </w:pPr>
    </w:p>
    <w:p>
      <w:pPr>
        <w:ind w:left="4"/>
        <w:spacing w:after="0"/>
        <w:rPr>
          <w:sz w:val="20"/>
          <w:szCs w:val="20"/>
          <w:color w:val="auto"/>
        </w:rPr>
      </w:pPr>
      <w:r>
        <w:rPr>
          <w:rFonts w:ascii="Times New Roman" w:cs="Times New Roman" w:eastAsia="Times New Roman" w:hAnsi="Times New Roman"/>
          <w:sz w:val="18"/>
          <w:szCs w:val="18"/>
          <w:color w:val="auto"/>
        </w:rPr>
        <w:t>(d) Exhibits</w:t>
      </w:r>
    </w:p>
    <w:p>
      <w:pPr>
        <w:sectPr>
          <w:pgSz w:w="11900" w:h="16838" w:orient="portrait"/>
          <w:cols w:equalWidth="0" w:num="1">
            <w:col w:w="10944"/>
          </w:cols>
          <w:pgMar w:left="436" w:top="297" w:right="519" w:bottom="1440" w:gutter="0" w:footer="0" w:header="0"/>
          <w:type w:val="continuous"/>
        </w:sectPr>
      </w:pPr>
    </w:p>
    <w:p>
      <w:pPr>
        <w:spacing w:after="0" w:line="246" w:lineRule="exact"/>
        <w:rPr>
          <w:sz w:val="20"/>
          <w:szCs w:val="20"/>
          <w:color w:val="auto"/>
        </w:rPr>
      </w:pPr>
    </w:p>
    <w:p>
      <w:pPr>
        <w:jc w:val="center"/>
        <w:ind w:right="4396"/>
        <w:spacing w:after="0"/>
        <w:rPr>
          <w:sz w:val="20"/>
          <w:szCs w:val="20"/>
          <w:color w:val="auto"/>
        </w:rPr>
      </w:pPr>
      <w:r>
        <w:rPr>
          <w:rFonts w:ascii="Times New Roman" w:cs="Times New Roman" w:eastAsia="Times New Roman" w:hAnsi="Times New Roman"/>
          <w:sz w:val="14"/>
          <w:szCs w:val="14"/>
          <w:b w:val="1"/>
          <w:bCs w:val="1"/>
          <w:color w:val="auto"/>
        </w:rPr>
        <w:t>Exhibit</w:t>
      </w:r>
    </w:p>
    <w:p>
      <w:pPr>
        <w:spacing w:after="0" w:line="6" w:lineRule="exact"/>
        <w:rPr>
          <w:sz w:val="20"/>
          <w:szCs w:val="20"/>
          <w:color w:val="auto"/>
        </w:rPr>
      </w:pPr>
    </w:p>
    <w:p>
      <w:pPr>
        <w:jc w:val="center"/>
        <w:ind w:right="4396"/>
        <w:spacing w:after="0"/>
        <w:rPr>
          <w:sz w:val="20"/>
          <w:szCs w:val="20"/>
          <w:color w:val="auto"/>
        </w:rPr>
      </w:pPr>
      <w:r>
        <w:rPr>
          <w:rFonts w:ascii="Times New Roman" w:cs="Times New Roman" w:eastAsia="Times New Roman" w:hAnsi="Times New Roman"/>
          <w:sz w:val="14"/>
          <w:szCs w:val="14"/>
          <w:b w:val="1"/>
          <w:bCs w:val="1"/>
          <w:color w:val="auto"/>
        </w:rPr>
        <w:t>No.</w:t>
      </w:r>
    </w:p>
    <w:p>
      <w:pPr>
        <w:spacing w:after="0" w:line="20" w:lineRule="exact"/>
        <w:rPr>
          <w:sz w:val="20"/>
          <w:szCs w:val="20"/>
          <w:color w:val="auto"/>
        </w:rPr>
      </w:pPr>
      <w:r>
        <w:rPr>
          <w:sz w:val="20"/>
          <w:szCs w:val="20"/>
          <w:color w:val="auto"/>
        </w:rPr>
        <w:br w:type="column"/>
      </w:r>
    </w:p>
    <w:p>
      <w:pPr>
        <w:spacing w:after="0" w:line="388" w:lineRule="exact"/>
        <w:rPr>
          <w:sz w:val="20"/>
          <w:szCs w:val="20"/>
          <w:color w:val="auto"/>
        </w:rPr>
      </w:pPr>
    </w:p>
    <w:p>
      <w:pPr>
        <w:jc w:val="center"/>
        <w:ind w:right="4640"/>
        <w:spacing w:after="0"/>
        <w:rPr>
          <w:sz w:val="20"/>
          <w:szCs w:val="20"/>
          <w:color w:val="auto"/>
        </w:rPr>
      </w:pPr>
      <w:r>
        <w:rPr>
          <w:rFonts w:ascii="Times New Roman" w:cs="Times New Roman" w:eastAsia="Times New Roman" w:hAnsi="Times New Roman"/>
          <w:sz w:val="14"/>
          <w:szCs w:val="14"/>
          <w:b w:val="1"/>
          <w:bCs w:val="1"/>
          <w:color w:val="auto"/>
        </w:rPr>
        <w:t>Description</w:t>
      </w:r>
    </w:p>
    <w:p>
      <w:pPr>
        <w:spacing w:after="0" w:line="101" w:lineRule="exact"/>
        <w:rPr>
          <w:sz w:val="20"/>
          <w:szCs w:val="20"/>
          <w:color w:val="auto"/>
        </w:rPr>
      </w:pPr>
    </w:p>
    <w:p>
      <w:pPr>
        <w:sectPr>
          <w:pgSz w:w="11900" w:h="16838" w:orient="portrait"/>
          <w:cols w:equalWidth="0" w:num="2">
            <w:col w:w="4864" w:space="720"/>
            <w:col w:w="5360"/>
          </w:cols>
          <w:pgMar w:left="436" w:top="297" w:right="519" w:bottom="1440" w:gutter="0" w:footer="0" w:header="0"/>
          <w:type w:val="continuous"/>
        </w:sectPr>
      </w:pPr>
    </w:p>
    <w:p>
      <w:pPr>
        <w:ind w:left="884" w:right="100" w:hanging="884"/>
        <w:spacing w:after="0" w:line="282" w:lineRule="auto"/>
        <w:tabs>
          <w:tab w:leader="none" w:pos="97"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4.1</w:t>
      </w:r>
      <w:r>
        <w:rPr>
          <w:rFonts w:ascii="Times New Roman" w:cs="Times New Roman" w:eastAsia="Times New Roman" w:hAnsi="Times New Roman"/>
          <w:sz w:val="18"/>
          <w:szCs w:val="18"/>
          <w:u w:val="single" w:color="auto"/>
          <w:color w:val="0000EE"/>
        </w:rPr>
        <w:t>Indenture, dated as of June 17, 2024, by and between MicroStrategy Incorporated and U.S. Bank Trust Company, National Association, as trustee.</w:t>
      </w:r>
    </w:p>
    <w:p>
      <w:pPr>
        <w:spacing w:after="0" w:line="53" w:lineRule="exact"/>
        <w:rPr>
          <w:rFonts w:ascii="Times New Roman" w:cs="Times New Roman" w:eastAsia="Times New Roman" w:hAnsi="Times New Roman"/>
          <w:sz w:val="18"/>
          <w:szCs w:val="18"/>
          <w:color w:val="auto"/>
        </w:rPr>
      </w:pPr>
    </w:p>
    <w:p>
      <w:pPr>
        <w:ind w:left="84" w:hanging="84"/>
        <w:spacing w:after="0"/>
        <w:tabs>
          <w:tab w:leader="none" w:pos="84" w:val="left"/>
        </w:tabs>
        <w:numPr>
          <w:ilvl w:val="0"/>
          <w:numId w:val="2"/>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4.2</w:t>
      </w:r>
      <w:r>
        <w:rPr>
          <w:rFonts w:ascii="Times New Roman" w:cs="Times New Roman" w:eastAsia="Times New Roman" w:hAnsi="Times New Roman"/>
          <w:sz w:val="17"/>
          <w:szCs w:val="17"/>
          <w:u w:val="single" w:color="auto"/>
          <w:color w:val="0000EE"/>
        </w:rPr>
        <w:t>Form of 2.25% Convertible Senior Note due 2032 (included within Exhibit 4.1).</w:t>
      </w:r>
    </w:p>
    <w:p>
      <w:pPr>
        <w:spacing w:after="0" w:line="115" w:lineRule="exact"/>
        <w:rPr>
          <w:sz w:val="20"/>
          <w:szCs w:val="20"/>
          <w:color w:val="auto"/>
        </w:rPr>
      </w:pPr>
    </w:p>
    <w:tbl>
      <w:tblPr>
        <w:tblLayout w:type="fixed"/>
        <w:tblInd w:w="4" w:type="dxa"/>
        <w:tblCellMar>
          <w:top w:w="0" w:type="dxa"/>
          <w:left w:w="0" w:type="dxa"/>
          <w:bottom w:w="0" w:type="dxa"/>
          <w:right w:w="0" w:type="dxa"/>
        </w:tblCellMar>
      </w:tblPr>
      <w:tr>
        <w:trPr>
          <w:trHeight w:val="207"/>
        </w:trPr>
        <w:tc>
          <w:tcPr>
            <w:tcW w:w="880" w:type="dxa"/>
            <w:vAlign w:val="bottom"/>
          </w:tcPr>
          <w:p>
            <w:pPr>
              <w:spacing w:after="0"/>
              <w:rPr>
                <w:sz w:val="20"/>
                <w:szCs w:val="20"/>
                <w:color w:val="auto"/>
              </w:rPr>
            </w:pPr>
            <w:r>
              <w:rPr>
                <w:rFonts w:ascii="Times New Roman" w:cs="Times New Roman" w:eastAsia="Times New Roman" w:hAnsi="Times New Roman"/>
                <w:sz w:val="18"/>
                <w:szCs w:val="18"/>
                <w:color w:val="auto"/>
              </w:rPr>
              <w:t>99.1</w:t>
            </w:r>
          </w:p>
        </w:tc>
        <w:tc>
          <w:tcPr>
            <w:tcW w:w="5400" w:type="dxa"/>
            <w:vAlign w:val="bottom"/>
            <w:tcBorders>
              <w:bottom w:val="single" w:sz="8" w:color="0000EE"/>
            </w:tcBorders>
          </w:tcPr>
          <w:p>
            <w:pPr>
              <w:spacing w:after="0"/>
              <w:rPr>
                <w:sz w:val="20"/>
                <w:szCs w:val="20"/>
                <w:color w:val="auto"/>
              </w:rPr>
            </w:pPr>
            <w:r>
              <w:rPr>
                <w:rFonts w:ascii="Times New Roman" w:cs="Times New Roman" w:eastAsia="Times New Roman" w:hAnsi="Times New Roman"/>
                <w:sz w:val="18"/>
                <w:szCs w:val="18"/>
                <w:color w:val="0000EE"/>
                <w:w w:val="99"/>
              </w:rPr>
              <w:t>Press Release, dated June 20, 2024, announcing the closing of the offering.</w:t>
            </w:r>
          </w:p>
        </w:tc>
        <w:tc>
          <w:tcPr>
            <w:tcW w:w="420" w:type="dxa"/>
            <w:vAlign w:val="bottom"/>
          </w:tcPr>
          <w:p>
            <w:pPr>
              <w:spacing w:after="0"/>
              <w:rPr>
                <w:sz w:val="17"/>
                <w:szCs w:val="17"/>
                <w:color w:val="auto"/>
              </w:rPr>
            </w:pPr>
          </w:p>
        </w:tc>
      </w:tr>
      <w:tr>
        <w:trPr>
          <w:trHeight w:val="345"/>
        </w:trPr>
        <w:tc>
          <w:tcPr>
            <w:tcW w:w="880" w:type="dxa"/>
            <w:vAlign w:val="bottom"/>
          </w:tcPr>
          <w:p>
            <w:pPr>
              <w:spacing w:after="0"/>
              <w:rPr>
                <w:sz w:val="20"/>
                <w:szCs w:val="20"/>
                <w:color w:val="auto"/>
              </w:rPr>
            </w:pPr>
            <w:r>
              <w:rPr>
                <w:rFonts w:ascii="Times New Roman" w:cs="Times New Roman" w:eastAsia="Times New Roman" w:hAnsi="Times New Roman"/>
                <w:sz w:val="18"/>
                <w:szCs w:val="18"/>
                <w:color w:val="auto"/>
              </w:rPr>
              <w:t>104</w:t>
            </w:r>
          </w:p>
        </w:tc>
        <w:tc>
          <w:tcPr>
            <w:tcW w:w="5820" w:type="dxa"/>
            <w:vAlign w:val="bottom"/>
            <w:gridSpan w:val="2"/>
          </w:tcPr>
          <w:p>
            <w:pPr>
              <w:spacing w:after="0"/>
              <w:rPr>
                <w:sz w:val="20"/>
                <w:szCs w:val="20"/>
                <w:color w:val="auto"/>
              </w:rPr>
            </w:pPr>
            <w:r>
              <w:rPr>
                <w:rFonts w:ascii="Times New Roman" w:cs="Times New Roman" w:eastAsia="Times New Roman" w:hAnsi="Times New Roman"/>
                <w:sz w:val="18"/>
                <w:szCs w:val="18"/>
                <w:color w:val="auto"/>
                <w:w w:val="99"/>
              </w:rPr>
              <w:t>Cover Page Interactive Data File (embedded within the Inline XBRL document).</w:t>
            </w:r>
          </w:p>
        </w:tc>
      </w:tr>
    </w:tbl>
    <w:p>
      <w:pPr>
        <w:sectPr>
          <w:pgSz w:w="11900" w:h="16838" w:orient="portrait"/>
          <w:cols w:equalWidth="0" w:num="1">
            <w:col w:w="10944"/>
          </w:cols>
          <w:pgMar w:left="436" w:top="297" w:right="519" w:bottom="1440" w:gutter="0" w:footer="0" w:header="0"/>
          <w:type w:val="continuous"/>
        </w:sectPr>
      </w:pPr>
    </w:p>
    <w:bookmarkStart w:id="4" w:name="page5"/>
    <w:bookmarkEnd w:id="4"/>
    <w:p>
      <w:pPr>
        <w:jc w:val="cente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extLst>
                    </a:blip>
                    <a:srcRect/>
                    <a:stretch>
                      <a:fillRect/>
                    </a:stretch>
                  </pic:blipFill>
                  <pic:spPr bwMode="auto">
                    <a:xfrm>
                      <a:off x="0" y="0"/>
                      <a:ext cx="7174865" cy="55880"/>
                    </a:xfrm>
                    <a:prstGeom prst="rect">
                      <a:avLst/>
                    </a:prstGeom>
                    <a:noFill/>
                  </pic:spPr>
                </pic:pic>
              </a:graphicData>
            </a:graphic>
          </wp:anchor>
        </w:drawing>
        <w:t>SIGNATURE</w:t>
      </w:r>
    </w:p>
    <w:p>
      <w:pPr>
        <w:spacing w:after="0" w:line="229" w:lineRule="exact"/>
        <w:rPr>
          <w:sz w:val="20"/>
          <w:szCs w:val="20"/>
          <w:color w:val="auto"/>
        </w:rPr>
      </w:pPr>
    </w:p>
    <w:p>
      <w:pPr>
        <w:ind w:right="20"/>
        <w:spacing w:after="0" w:line="282" w:lineRule="auto"/>
        <w:rPr>
          <w:sz w:val="20"/>
          <w:szCs w:val="20"/>
          <w:color w:val="auto"/>
        </w:rPr>
      </w:pPr>
      <w:r>
        <w:rPr>
          <w:rFonts w:ascii="Times New Roman" w:cs="Times New Roman" w:eastAsia="Times New Roman" w:hAnsi="Times New Roman"/>
          <w:sz w:val="18"/>
          <w:szCs w:val="18"/>
          <w:color w:val="auto"/>
        </w:rPr>
        <w:t>Pursuant to the requirements of the Securities Exchange Act of 1934, as amended, the Registrant has duly caused this report to be signed on its behalf by the undersigned hereunto duly authorized.</w:t>
      </w:r>
    </w:p>
    <w:p>
      <w:pPr>
        <w:spacing w:after="0" w:line="189" w:lineRule="exact"/>
        <w:rPr>
          <w:sz w:val="20"/>
          <w:szCs w:val="20"/>
          <w:color w:val="auto"/>
        </w:rPr>
      </w:pPr>
    </w:p>
    <w:tbl>
      <w:tblPr>
        <w:tblLayout w:type="fixed"/>
        <w:tblInd w:w="0" w:type="dxa"/>
        <w:tblCellMar>
          <w:top w:w="0" w:type="dxa"/>
          <w:left w:w="0" w:type="dxa"/>
          <w:bottom w:w="0" w:type="dxa"/>
          <w:right w:w="0" w:type="dxa"/>
        </w:tblCellMar>
      </w:tblPr>
      <w:tr>
        <w:trPr>
          <w:trHeight w:val="216"/>
        </w:trPr>
        <w:tc>
          <w:tcPr>
            <w:tcW w:w="3480" w:type="dxa"/>
            <w:vAlign w:val="bottom"/>
          </w:tcPr>
          <w:p>
            <w:pPr>
              <w:spacing w:after="0"/>
              <w:rPr>
                <w:sz w:val="20"/>
                <w:szCs w:val="20"/>
                <w:color w:val="auto"/>
              </w:rPr>
            </w:pPr>
            <w:r>
              <w:rPr>
                <w:rFonts w:ascii="Times New Roman" w:cs="Times New Roman" w:eastAsia="Times New Roman" w:hAnsi="Times New Roman"/>
                <w:sz w:val="18"/>
                <w:szCs w:val="18"/>
                <w:color w:val="auto"/>
              </w:rPr>
              <w:t>Date: June 20, 2024</w:t>
            </w:r>
          </w:p>
        </w:tc>
        <w:tc>
          <w:tcPr>
            <w:tcW w:w="7540" w:type="dxa"/>
            <w:vAlign w:val="bottom"/>
            <w:gridSpan w:val="2"/>
          </w:tcPr>
          <w:p>
            <w:pPr>
              <w:ind w:left="2040"/>
              <w:spacing w:after="0"/>
              <w:rPr>
                <w:sz w:val="20"/>
                <w:szCs w:val="20"/>
                <w:color w:val="auto"/>
              </w:rPr>
            </w:pPr>
            <w:r>
              <w:rPr>
                <w:rFonts w:ascii="Times New Roman" w:cs="Times New Roman" w:eastAsia="Times New Roman" w:hAnsi="Times New Roman"/>
                <w:sz w:val="18"/>
                <w:szCs w:val="18"/>
                <w:color w:val="auto"/>
              </w:rPr>
              <w:t>MicroStrategy Incorporated</w:t>
            </w:r>
          </w:p>
        </w:tc>
      </w:tr>
      <w:tr>
        <w:trPr>
          <w:trHeight w:val="234"/>
        </w:trPr>
        <w:tc>
          <w:tcPr>
            <w:tcW w:w="3480" w:type="dxa"/>
            <w:vAlign w:val="bottom"/>
          </w:tcPr>
          <w:p>
            <w:pPr>
              <w:spacing w:after="0"/>
              <w:rPr>
                <w:sz w:val="20"/>
                <w:szCs w:val="20"/>
                <w:color w:val="auto"/>
              </w:rPr>
            </w:pPr>
          </w:p>
        </w:tc>
        <w:tc>
          <w:tcPr>
            <w:tcW w:w="7540" w:type="dxa"/>
            <w:vAlign w:val="bottom"/>
            <w:gridSpan w:val="2"/>
          </w:tcPr>
          <w:p>
            <w:pPr>
              <w:ind w:left="2040"/>
              <w:spacing w:after="0"/>
              <w:rPr>
                <w:sz w:val="20"/>
                <w:szCs w:val="20"/>
                <w:color w:val="auto"/>
              </w:rPr>
            </w:pPr>
            <w:r>
              <w:rPr>
                <w:rFonts w:ascii="Times New Roman" w:cs="Times New Roman" w:eastAsia="Times New Roman" w:hAnsi="Times New Roman"/>
                <w:sz w:val="18"/>
                <w:szCs w:val="18"/>
                <w:color w:val="auto"/>
              </w:rPr>
              <w:t>(Registrant)</w:t>
            </w:r>
          </w:p>
        </w:tc>
      </w:tr>
      <w:tr>
        <w:trPr>
          <w:trHeight w:val="445"/>
        </w:trPr>
        <w:tc>
          <w:tcPr>
            <w:tcW w:w="3480" w:type="dxa"/>
            <w:vAlign w:val="bottom"/>
          </w:tcPr>
          <w:p>
            <w:pPr>
              <w:spacing w:after="0"/>
              <w:rPr>
                <w:sz w:val="24"/>
                <w:szCs w:val="24"/>
                <w:color w:val="auto"/>
              </w:rPr>
            </w:pPr>
          </w:p>
        </w:tc>
        <w:tc>
          <w:tcPr>
            <w:tcW w:w="2680" w:type="dxa"/>
            <w:vAlign w:val="bottom"/>
          </w:tcPr>
          <w:p>
            <w:pPr>
              <w:ind w:left="2040"/>
              <w:spacing w:after="0"/>
              <w:rPr>
                <w:sz w:val="20"/>
                <w:szCs w:val="20"/>
                <w:color w:val="auto"/>
              </w:rPr>
            </w:pPr>
            <w:r>
              <w:rPr>
                <w:rFonts w:ascii="Times New Roman" w:cs="Times New Roman" w:eastAsia="Times New Roman" w:hAnsi="Times New Roman"/>
                <w:sz w:val="18"/>
                <w:szCs w:val="18"/>
                <w:color w:val="auto"/>
              </w:rPr>
              <w:t>By:</w:t>
            </w:r>
          </w:p>
        </w:tc>
        <w:tc>
          <w:tcPr>
            <w:tcW w:w="486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rPr>
              <w:t>/s/ W. Ming Shao</w:t>
            </w:r>
          </w:p>
        </w:tc>
      </w:tr>
      <w:tr>
        <w:trPr>
          <w:trHeight w:val="205"/>
        </w:trPr>
        <w:tc>
          <w:tcPr>
            <w:tcW w:w="3480" w:type="dxa"/>
            <w:vAlign w:val="bottom"/>
          </w:tcPr>
          <w:p>
            <w:pPr>
              <w:spacing w:after="0"/>
              <w:rPr>
                <w:sz w:val="17"/>
                <w:szCs w:val="17"/>
                <w:color w:val="auto"/>
              </w:rPr>
            </w:pPr>
          </w:p>
        </w:tc>
        <w:tc>
          <w:tcPr>
            <w:tcW w:w="2680" w:type="dxa"/>
            <w:vAlign w:val="bottom"/>
          </w:tcPr>
          <w:p>
            <w:pPr>
              <w:ind w:left="2040"/>
              <w:spacing w:after="0" w:line="205" w:lineRule="exact"/>
              <w:rPr>
                <w:sz w:val="20"/>
                <w:szCs w:val="20"/>
                <w:color w:val="auto"/>
              </w:rPr>
            </w:pPr>
            <w:r>
              <w:rPr>
                <w:rFonts w:ascii="Times New Roman" w:cs="Times New Roman" w:eastAsia="Times New Roman" w:hAnsi="Times New Roman"/>
                <w:sz w:val="18"/>
                <w:szCs w:val="18"/>
                <w:color w:val="auto"/>
              </w:rPr>
              <w:t>Name:</w:t>
            </w:r>
          </w:p>
        </w:tc>
        <w:tc>
          <w:tcPr>
            <w:tcW w:w="4860" w:type="dxa"/>
            <w:vAlign w:val="bottom"/>
          </w:tcPr>
          <w:p>
            <w:pPr>
              <w:spacing w:after="0" w:line="205" w:lineRule="exact"/>
              <w:rPr>
                <w:sz w:val="20"/>
                <w:szCs w:val="20"/>
                <w:color w:val="auto"/>
              </w:rPr>
            </w:pPr>
            <w:r>
              <w:rPr>
                <w:rFonts w:ascii="Times New Roman" w:cs="Times New Roman" w:eastAsia="Times New Roman" w:hAnsi="Times New Roman"/>
                <w:sz w:val="18"/>
                <w:szCs w:val="18"/>
                <w:color w:val="auto"/>
              </w:rPr>
              <w:t>W. Ming Shao</w:t>
            </w:r>
          </w:p>
        </w:tc>
      </w:tr>
      <w:tr>
        <w:trPr>
          <w:trHeight w:val="234"/>
        </w:trPr>
        <w:tc>
          <w:tcPr>
            <w:tcW w:w="3480" w:type="dxa"/>
            <w:vAlign w:val="bottom"/>
          </w:tcPr>
          <w:p>
            <w:pPr>
              <w:spacing w:after="0"/>
              <w:rPr>
                <w:sz w:val="20"/>
                <w:szCs w:val="20"/>
                <w:color w:val="auto"/>
              </w:rPr>
            </w:pPr>
          </w:p>
        </w:tc>
        <w:tc>
          <w:tcPr>
            <w:tcW w:w="2680" w:type="dxa"/>
            <w:vAlign w:val="bottom"/>
          </w:tcPr>
          <w:p>
            <w:pPr>
              <w:ind w:left="2040"/>
              <w:spacing w:after="0"/>
              <w:rPr>
                <w:sz w:val="20"/>
                <w:szCs w:val="20"/>
                <w:color w:val="auto"/>
              </w:rPr>
            </w:pPr>
            <w:r>
              <w:rPr>
                <w:rFonts w:ascii="Times New Roman" w:cs="Times New Roman" w:eastAsia="Times New Roman" w:hAnsi="Times New Roman"/>
                <w:sz w:val="18"/>
                <w:szCs w:val="18"/>
                <w:color w:val="auto"/>
              </w:rPr>
              <w:t>Title:</w:t>
            </w:r>
          </w:p>
        </w:tc>
        <w:tc>
          <w:tcPr>
            <w:tcW w:w="4860" w:type="dxa"/>
            <w:vAlign w:val="bottom"/>
          </w:tcPr>
          <w:p>
            <w:pPr>
              <w:spacing w:after="0"/>
              <w:rPr>
                <w:sz w:val="20"/>
                <w:szCs w:val="20"/>
                <w:color w:val="auto"/>
              </w:rPr>
            </w:pPr>
            <w:r>
              <w:rPr>
                <w:rFonts w:ascii="Times New Roman" w:cs="Times New Roman" w:eastAsia="Times New Roman" w:hAnsi="Times New Roman"/>
                <w:sz w:val="18"/>
                <w:szCs w:val="18"/>
                <w:color w:val="auto"/>
              </w:rPr>
              <w:t>Senior Executive Vice President &amp; General Counsel</w:t>
            </w:r>
          </w:p>
        </w:tc>
      </w:tr>
    </w:tbl>
    <w:p>
      <w:pPr>
        <w:sectPr>
          <w:pgSz w:w="11900" w:h="16838" w:orient="portrait"/>
          <w:cols w:equalWidth="0" w:num="1">
            <w:col w:w="11020"/>
          </w:cols>
          <w:pgMar w:left="440" w:top="293" w:right="439" w:bottom="1440" w:gutter="0" w:footer="0" w:header="0"/>
        </w:sectPr>
      </w:pPr>
    </w:p>
    <w:bookmarkStart w:id="5" w:name="page6"/>
    <w:bookmarkEnd w:id="5"/>
    <w:p>
      <w:pPr>
        <w:jc w:val="right"/>
        <w:spacing w:after="0"/>
        <w:rPr>
          <w:sz w:val="20"/>
          <w:szCs w:val="20"/>
          <w:color w:val="auto"/>
        </w:rPr>
      </w:pPr>
      <w:r>
        <w:rPr>
          <w:rFonts w:ascii="Times New Roman" w:cs="Times New Roman" w:eastAsia="Times New Roman" w:hAnsi="Times New Roman"/>
          <w:sz w:val="18"/>
          <w:szCs w:val="18"/>
          <w:b w:val="1"/>
          <w:bCs w:val="1"/>
          <w:color w:val="auto"/>
        </w:rPr>
        <w:t>Exhibit 4.1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-636905</wp:posOffset>
            </wp:positionH>
            <wp:positionV relativeFrom="paragraph">
              <wp:posOffset>182880</wp:posOffset>
            </wp:positionV>
            <wp:extent cx="6995160" cy="889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extLst>
                    </a:blip>
                    <a:srcRect/>
                    <a:stretch>
                      <a:fillRect/>
                    </a:stretch>
                  </pic:blipFill>
                  <pic:spPr bwMode="auto">
                    <a:xfrm>
                      <a:off x="0" y="0"/>
                      <a:ext cx="6995160" cy="8890"/>
                    </a:xfrm>
                    <a:prstGeom prst="rect">
                      <a:avLst/>
                    </a:prstGeom>
                    <a:noFill/>
                  </pic:spPr>
                </pic:pic>
              </a:graphicData>
            </a:graphic>
          </wp:anchor>
        </w:drawing>
        <w:drawing>
          <wp:anchor simplePos="0" relativeHeight="251657728" behindDoc="1" locked="0" layoutInCell="0" allowOverlap="1">
            <wp:simplePos x="0" y="0"/>
            <wp:positionH relativeFrom="column">
              <wp:posOffset>-636905</wp:posOffset>
            </wp:positionH>
            <wp:positionV relativeFrom="paragraph">
              <wp:posOffset>225425</wp:posOffset>
            </wp:positionV>
            <wp:extent cx="6995160" cy="889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extLst>
                    </a:blip>
                    <a:srcRect/>
                    <a:stretch>
                      <a:fillRect/>
                    </a:stretch>
                  </pic:blipFill>
                  <pic:spPr bwMode="auto">
                    <a:xfrm>
                      <a:off x="0" y="0"/>
                      <a:ext cx="6995160" cy="8890"/>
                    </a:xfrm>
                    <a:prstGeom prst="rect">
                      <a:avLst/>
                    </a:prstGeom>
                    <a:noFill/>
                  </pic:spPr>
                </pic:pic>
              </a:graphicData>
            </a:graphic>
          </wp:anchor>
        </w:drawing>
      </w:r>
    </w:p>
    <w:p>
      <w:pPr>
        <w:spacing w:after="0" w:line="200" w:lineRule="exact"/>
        <w:rPr>
          <w:sz w:val="20"/>
          <w:szCs w:val="20"/>
          <w:color w:val="auto"/>
        </w:rPr>
      </w:pPr>
    </w:p>
    <w:p>
      <w:pPr>
        <w:spacing w:after="0" w:line="347" w:lineRule="exact"/>
        <w:rPr>
          <w:sz w:val="20"/>
          <w:szCs w:val="20"/>
          <w:color w:val="auto"/>
        </w:rPr>
      </w:pPr>
    </w:p>
    <w:p>
      <w:pPr>
        <w:jc w:val="center"/>
        <w:ind w:right="1000"/>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25" w:lineRule="exact"/>
        <w:rPr>
          <w:sz w:val="20"/>
          <w:szCs w:val="20"/>
          <w:color w:val="auto"/>
        </w:rPr>
      </w:pPr>
    </w:p>
    <w:p>
      <w:pPr>
        <w:jc w:val="center"/>
        <w:ind w:right="1000"/>
        <w:spacing w:after="0"/>
        <w:rPr>
          <w:sz w:val="20"/>
          <w:szCs w:val="20"/>
          <w:color w:val="auto"/>
        </w:rPr>
      </w:pPr>
      <w:r>
        <w:rPr>
          <w:rFonts w:ascii="Times New Roman" w:cs="Times New Roman" w:eastAsia="Times New Roman" w:hAnsi="Times New Roman"/>
          <w:sz w:val="18"/>
          <w:szCs w:val="18"/>
          <w:color w:val="auto"/>
        </w:rPr>
        <w:t>AND</w:t>
      </w:r>
    </w:p>
    <w:p>
      <w:pPr>
        <w:spacing w:after="0" w:line="225" w:lineRule="exact"/>
        <w:rPr>
          <w:sz w:val="20"/>
          <w:szCs w:val="20"/>
          <w:color w:val="auto"/>
        </w:rPr>
      </w:pPr>
    </w:p>
    <w:p>
      <w:pPr>
        <w:jc w:val="center"/>
        <w:ind w:right="1000"/>
        <w:spacing w:after="0"/>
        <w:rPr>
          <w:sz w:val="20"/>
          <w:szCs w:val="20"/>
          <w:color w:val="auto"/>
        </w:rPr>
      </w:pPr>
      <w:r>
        <w:rPr>
          <w:rFonts w:ascii="Times New Roman" w:cs="Times New Roman" w:eastAsia="Times New Roman" w:hAnsi="Times New Roman"/>
          <w:sz w:val="17"/>
          <w:szCs w:val="17"/>
          <w:color w:val="auto"/>
        </w:rPr>
        <w:t>U.S. BANK TRUST COMPANY, NATIONAL ASSOCIATION,</w:t>
      </w:r>
    </w:p>
    <w:p>
      <w:pPr>
        <w:spacing w:after="0" w:line="237" w:lineRule="exact"/>
        <w:rPr>
          <w:sz w:val="20"/>
          <w:szCs w:val="20"/>
          <w:color w:val="auto"/>
        </w:rPr>
      </w:pPr>
    </w:p>
    <w:p>
      <w:pPr>
        <w:jc w:val="center"/>
        <w:ind w:right="1000"/>
        <w:spacing w:after="0"/>
        <w:rPr>
          <w:sz w:val="20"/>
          <w:szCs w:val="20"/>
          <w:color w:val="auto"/>
        </w:rPr>
      </w:pPr>
      <w:r>
        <w:rPr>
          <w:rFonts w:ascii="Times New Roman" w:cs="Times New Roman" w:eastAsia="Times New Roman" w:hAnsi="Times New Roman"/>
          <w:sz w:val="18"/>
          <w:szCs w:val="18"/>
          <w:color w:val="auto"/>
        </w:rPr>
        <w:t>as Trustee</w:t>
      </w:r>
    </w:p>
    <w:p>
      <w:pPr>
        <w:spacing w:after="0" w:line="225" w:lineRule="exact"/>
        <w:rPr>
          <w:sz w:val="20"/>
          <w:szCs w:val="20"/>
          <w:color w:val="auto"/>
        </w:rPr>
      </w:pPr>
    </w:p>
    <w:p>
      <w:pPr>
        <w:jc w:val="center"/>
        <w:ind w:right="1000"/>
        <w:spacing w:after="0"/>
        <w:rPr>
          <w:sz w:val="20"/>
          <w:szCs w:val="20"/>
          <w:color w:val="auto"/>
        </w:rPr>
      </w:pPr>
      <w:r>
        <w:rPr>
          <w:rFonts w:ascii="Times New Roman" w:cs="Times New Roman" w:eastAsia="Times New Roman" w:hAnsi="Times New Roman"/>
          <w:sz w:val="18"/>
          <w:szCs w:val="18"/>
          <w:color w:val="auto"/>
        </w:rPr>
        <w:t>INDENTURE</w:t>
      </w:r>
    </w:p>
    <w:p>
      <w:pPr>
        <w:spacing w:after="0" w:line="225" w:lineRule="exact"/>
        <w:rPr>
          <w:sz w:val="20"/>
          <w:szCs w:val="20"/>
          <w:color w:val="auto"/>
        </w:rPr>
      </w:pPr>
    </w:p>
    <w:p>
      <w:pPr>
        <w:jc w:val="center"/>
        <w:ind w:right="1000"/>
        <w:spacing w:after="0"/>
        <w:rPr>
          <w:sz w:val="20"/>
          <w:szCs w:val="20"/>
          <w:color w:val="auto"/>
        </w:rPr>
      </w:pPr>
      <w:r>
        <w:rPr>
          <w:rFonts w:ascii="Times New Roman" w:cs="Times New Roman" w:eastAsia="Times New Roman" w:hAnsi="Times New Roman"/>
          <w:sz w:val="18"/>
          <w:szCs w:val="18"/>
          <w:color w:val="auto"/>
        </w:rPr>
        <w:t>Dated as of June 17, 2024</w:t>
      </w:r>
    </w:p>
    <w:p>
      <w:pPr>
        <w:spacing w:after="0" w:line="225" w:lineRule="exact"/>
        <w:rPr>
          <w:sz w:val="20"/>
          <w:szCs w:val="20"/>
          <w:color w:val="auto"/>
        </w:rPr>
      </w:pPr>
    </w:p>
    <w:p>
      <w:pPr>
        <w:ind w:left="2980"/>
        <w:spacing w:after="0"/>
        <w:rPr>
          <w:sz w:val="20"/>
          <w:szCs w:val="20"/>
          <w:color w:val="auto"/>
        </w:rPr>
      </w:pPr>
      <w:r>
        <w:rPr>
          <w:rFonts w:ascii="Times New Roman" w:cs="Times New Roman" w:eastAsia="Times New Roman" w:hAnsi="Times New Roman"/>
          <w:sz w:val="18"/>
          <w:szCs w:val="18"/>
          <w:color w:val="auto"/>
        </w:rPr>
        <w:t>2.25% Convertible Senior Notes due 2032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-636905</wp:posOffset>
            </wp:positionH>
            <wp:positionV relativeFrom="paragraph">
              <wp:posOffset>188595</wp:posOffset>
            </wp:positionV>
            <wp:extent cx="6995160" cy="825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column">
              <wp:posOffset>-636905</wp:posOffset>
            </wp:positionH>
            <wp:positionV relativeFrom="paragraph">
              <wp:posOffset>231775</wp:posOffset>
            </wp:positionV>
            <wp:extent cx="6995160" cy="825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extLst>
                    </a:blip>
                    <a:srcRect/>
                    <a:stretch>
                      <a:fillRect/>
                    </a:stretch>
                  </pic:blipFill>
                  <pic:spPr bwMode="auto">
                    <a:xfrm>
                      <a:off x="0" y="0"/>
                      <a:ext cx="6995160" cy="8255"/>
                    </a:xfrm>
                    <a:prstGeom prst="rect">
                      <a:avLst/>
                    </a:prstGeom>
                    <a:noFill/>
                  </pic:spPr>
                </pic:pic>
              </a:graphicData>
            </a:graphic>
          </wp:anchor>
        </w:drawing>
      </w:r>
    </w:p>
    <w:p>
      <w:pPr>
        <w:sectPr>
          <w:pgSz w:w="11900" w:h="16838" w:orient="portrait"/>
          <w:cols w:equalWidth="0" w:num="1">
            <w:col w:w="10020"/>
          </w:cols>
          <w:pgMar w:left="1440" w:top="117" w:right="439" w:bottom="1440" w:gutter="0" w:footer="0" w:header="0"/>
        </w:sectPr>
      </w:pPr>
    </w:p>
    <w:bookmarkStart w:id="6" w:name="page7"/>
    <w:bookmarkEnd w:id="6"/>
    <w:tbl>
      <w:tblPr>
        <w:tblLayout w:type="fixed"/>
        <w:tblInd w:w="0" w:type="dxa"/>
        <w:tblCellMar>
          <w:top w:w="0" w:type="dxa"/>
          <w:left w:w="0" w:type="dxa"/>
          <w:bottom w:w="0" w:type="dxa"/>
          <w:right w:w="0" w:type="dxa"/>
        </w:tblCellMar>
      </w:tblPr>
      <w:tr>
        <w:trPr>
          <w:trHeight w:val="207"/>
        </w:trPr>
        <w:tc>
          <w:tcPr>
            <w:tcW w:w="1120" w:type="dxa"/>
            <w:vAlign w:val="bottom"/>
          </w:tcPr>
          <w:p>
            <w:pPr>
              <w:spacing w:after="0"/>
              <w:rPr>
                <w:sz w:val="17"/>
                <w:szCs w:val="17"/>
                <w:color w:val="auto"/>
              </w:rPr>
            </w:pPr>
          </w:p>
        </w:tc>
        <w:tc>
          <w:tcPr>
            <w:tcW w:w="3420" w:type="dxa"/>
            <w:vAlign w:val="bottom"/>
          </w:tcPr>
          <w:p>
            <w:pPr>
              <w:spacing w:after="0"/>
              <w:rPr>
                <w:sz w:val="17"/>
                <w:szCs w:val="17"/>
                <w:color w:val="auto"/>
              </w:rPr>
            </w:pPr>
          </w:p>
        </w:tc>
        <w:tc>
          <w:tcPr>
            <w:tcW w:w="606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TABLE OF CONTENTS</w:t>
            </w:r>
          </w:p>
        </w:tc>
        <w:tc>
          <w:tcPr>
            <w:tcW w:w="36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412"/>
        </w:trPr>
        <w:tc>
          <w:tcPr>
            <w:tcW w:w="1120" w:type="dxa"/>
            <w:vAlign w:val="bottom"/>
          </w:tcPr>
          <w:p>
            <w:pPr>
              <w:spacing w:after="0"/>
              <w:rPr>
                <w:sz w:val="24"/>
                <w:szCs w:val="24"/>
                <w:color w:val="auto"/>
              </w:rPr>
            </w:pPr>
          </w:p>
        </w:tc>
        <w:tc>
          <w:tcPr>
            <w:tcW w:w="3420" w:type="dxa"/>
            <w:vAlign w:val="bottom"/>
          </w:tcPr>
          <w:p>
            <w:pPr>
              <w:spacing w:after="0"/>
              <w:rPr>
                <w:sz w:val="24"/>
                <w:szCs w:val="24"/>
                <w:color w:val="auto"/>
              </w:rPr>
            </w:pPr>
          </w:p>
        </w:tc>
        <w:tc>
          <w:tcPr>
            <w:tcW w:w="1920" w:type="dxa"/>
            <w:vAlign w:val="bottom"/>
            <w:tcBorders>
              <w:top w:val="single" w:sz="8" w:color="auto"/>
              <w:bottom w:val="single" w:sz="8" w:color="auto"/>
            </w:tcBorders>
            <w:vMerge w:val="restart"/>
          </w:tcPr>
          <w:p>
            <w:pPr>
              <w:jc w:val="center"/>
              <w:ind w:left="710"/>
              <w:spacing w:after="0"/>
              <w:rPr>
                <w:sz w:val="20"/>
                <w:szCs w:val="20"/>
                <w:color w:val="auto"/>
              </w:rPr>
            </w:pPr>
            <w:r>
              <w:rPr>
                <w:rFonts w:ascii="Times New Roman" w:cs="Times New Roman" w:eastAsia="Times New Roman" w:hAnsi="Times New Roman"/>
                <w:sz w:val="18"/>
                <w:szCs w:val="18"/>
                <w:color w:val="auto"/>
                <w:w w:val="98"/>
              </w:rPr>
              <w:t>ARTICLE 1</w:t>
            </w:r>
          </w:p>
        </w:tc>
        <w:tc>
          <w:tcPr>
            <w:tcW w:w="4140" w:type="dxa"/>
            <w:vAlign w:val="bottom"/>
            <w:vMerge w:val="restart"/>
          </w:tcPr>
          <w:p>
            <w:pPr>
              <w:spacing w:after="0"/>
              <w:rPr>
                <w:sz w:val="24"/>
                <w:szCs w:val="24"/>
                <w:color w:val="auto"/>
              </w:rPr>
            </w:pPr>
          </w:p>
        </w:tc>
        <w:tc>
          <w:tcPr>
            <w:tcW w:w="3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b w:val="1"/>
                <w:bCs w:val="1"/>
                <w:color w:val="auto"/>
              </w:rPr>
              <w:t>P</w:t>
            </w:r>
            <w:r>
              <w:rPr>
                <w:rFonts w:ascii="Times New Roman" w:cs="Times New Roman" w:eastAsia="Times New Roman" w:hAnsi="Times New Roman"/>
                <w:sz w:val="11"/>
                <w:szCs w:val="11"/>
                <w:b w:val="1"/>
                <w:bCs w:val="1"/>
                <w:color w:val="auto"/>
              </w:rPr>
              <w:t>AGE</w:t>
            </w:r>
          </w:p>
        </w:tc>
        <w:tc>
          <w:tcPr>
            <w:tcW w:w="0" w:type="dxa"/>
            <w:vAlign w:val="bottom"/>
          </w:tcPr>
          <w:p>
            <w:pPr>
              <w:spacing w:after="0"/>
              <w:rPr>
                <w:sz w:val="1"/>
                <w:szCs w:val="1"/>
                <w:color w:val="auto"/>
              </w:rPr>
            </w:pPr>
          </w:p>
        </w:tc>
      </w:tr>
      <w:tr>
        <w:trPr>
          <w:trHeight w:val="178"/>
        </w:trPr>
        <w:tc>
          <w:tcPr>
            <w:tcW w:w="1120" w:type="dxa"/>
            <w:vAlign w:val="bottom"/>
          </w:tcPr>
          <w:p>
            <w:pPr>
              <w:spacing w:after="0"/>
              <w:rPr>
                <w:sz w:val="15"/>
                <w:szCs w:val="15"/>
                <w:color w:val="auto"/>
              </w:rPr>
            </w:pPr>
          </w:p>
        </w:tc>
        <w:tc>
          <w:tcPr>
            <w:tcW w:w="3420" w:type="dxa"/>
            <w:vAlign w:val="bottom"/>
          </w:tcPr>
          <w:p>
            <w:pPr>
              <w:spacing w:after="0"/>
              <w:rPr>
                <w:sz w:val="15"/>
                <w:szCs w:val="15"/>
                <w:color w:val="auto"/>
              </w:rPr>
            </w:pPr>
          </w:p>
        </w:tc>
        <w:tc>
          <w:tcPr>
            <w:tcW w:w="1920" w:type="dxa"/>
            <w:vAlign w:val="bottom"/>
            <w:vMerge w:val="continue"/>
          </w:tcPr>
          <w:p>
            <w:pPr>
              <w:spacing w:after="0"/>
              <w:rPr>
                <w:sz w:val="15"/>
                <w:szCs w:val="15"/>
                <w:color w:val="auto"/>
              </w:rPr>
            </w:pPr>
          </w:p>
        </w:tc>
        <w:tc>
          <w:tcPr>
            <w:tcW w:w="4140" w:type="dxa"/>
            <w:vAlign w:val="bottom"/>
            <w:vMerge w:val="continue"/>
          </w:tcPr>
          <w:p>
            <w:pPr>
              <w:spacing w:after="0"/>
              <w:rPr>
                <w:sz w:val="15"/>
                <w:szCs w:val="15"/>
                <w:color w:val="auto"/>
              </w:rPr>
            </w:pPr>
          </w:p>
        </w:tc>
        <w:tc>
          <w:tcPr>
            <w:tcW w:w="36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234"/>
        </w:trPr>
        <w:tc>
          <w:tcPr>
            <w:tcW w:w="1120" w:type="dxa"/>
            <w:vAlign w:val="bottom"/>
          </w:tcPr>
          <w:p>
            <w:pPr>
              <w:spacing w:after="0"/>
              <w:rPr>
                <w:sz w:val="20"/>
                <w:szCs w:val="20"/>
                <w:color w:val="auto"/>
              </w:rPr>
            </w:pPr>
          </w:p>
        </w:tc>
        <w:tc>
          <w:tcPr>
            <w:tcW w:w="3420" w:type="dxa"/>
            <w:vAlign w:val="bottom"/>
          </w:tcPr>
          <w:p>
            <w:pPr>
              <w:spacing w:after="0"/>
              <w:rPr>
                <w:sz w:val="20"/>
                <w:szCs w:val="20"/>
                <w:color w:val="auto"/>
              </w:rPr>
            </w:pPr>
          </w:p>
        </w:tc>
        <w:tc>
          <w:tcPr>
            <w:tcW w:w="6060" w:type="dxa"/>
            <w:vAlign w:val="bottom"/>
            <w:gridSpan w:val="2"/>
          </w:tcPr>
          <w:p>
            <w:pPr>
              <w:jc w:val="center"/>
              <w:ind w:right="3340"/>
              <w:spacing w:after="0"/>
              <w:rPr>
                <w:sz w:val="20"/>
                <w:szCs w:val="20"/>
                <w:color w:val="auto"/>
              </w:rPr>
            </w:pPr>
            <w:r>
              <w:rPr>
                <w:rFonts w:ascii="Times New Roman" w:cs="Times New Roman" w:eastAsia="Times New Roman" w:hAnsi="Times New Roman"/>
                <w:sz w:val="18"/>
                <w:szCs w:val="18"/>
                <w:color w:val="auto"/>
              </w:rPr>
              <w:t>D</w:t>
            </w:r>
            <w:r>
              <w:rPr>
                <w:rFonts w:ascii="Times New Roman" w:cs="Times New Roman" w:eastAsia="Times New Roman" w:hAnsi="Times New Roman"/>
                <w:sz w:val="14"/>
                <w:szCs w:val="14"/>
                <w:color w:val="auto"/>
              </w:rPr>
              <w:t>EFINITIONS</w:t>
            </w:r>
          </w:p>
        </w:tc>
        <w:tc>
          <w:tcPr>
            <w:tcW w:w="36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304"/>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1.01</w:t>
            </w:r>
            <w:r>
              <w:rPr>
                <w:rFonts w:ascii="Times New Roman" w:cs="Times New Roman" w:eastAsia="Times New Roman" w:hAnsi="Times New Roman"/>
                <w:sz w:val="18"/>
                <w:szCs w:val="18"/>
                <w:i w:val="1"/>
                <w:iCs w:val="1"/>
                <w:color w:val="auto"/>
              </w:rPr>
              <w:t>.</w:t>
            </w:r>
          </w:p>
        </w:tc>
        <w:tc>
          <w:tcPr>
            <w:tcW w:w="9480" w:type="dxa"/>
            <w:vAlign w:val="bottom"/>
            <w:gridSpan w:val="3"/>
          </w:tcPr>
          <w:p>
            <w:pPr>
              <w:ind w:left="180"/>
              <w:spacing w:after="0"/>
              <w:rPr>
                <w:sz w:val="20"/>
                <w:szCs w:val="20"/>
                <w:color w:val="auto"/>
              </w:rPr>
            </w:pPr>
            <w:r>
              <w:rPr>
                <w:rFonts w:ascii="Times New Roman" w:cs="Times New Roman" w:eastAsia="Times New Roman" w:hAnsi="Times New Roman"/>
                <w:sz w:val="18"/>
                <w:szCs w:val="18"/>
                <w:i w:val="1"/>
                <w:iCs w:val="1"/>
                <w:color w:val="auto"/>
              </w:rPr>
              <w:t>Definitions</w:t>
            </w:r>
          </w:p>
        </w:tc>
        <w:tc>
          <w:tcPr>
            <w:tcW w:w="3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w:t>
            </w:r>
          </w:p>
        </w:tc>
        <w:tc>
          <w:tcPr>
            <w:tcW w:w="0" w:type="dxa"/>
            <w:vAlign w:val="bottom"/>
          </w:tcPr>
          <w:p>
            <w:pPr>
              <w:spacing w:after="0"/>
              <w:rPr>
                <w:sz w:val="1"/>
                <w:szCs w:val="1"/>
                <w:color w:val="auto"/>
              </w:rPr>
            </w:pPr>
          </w:p>
        </w:tc>
      </w:tr>
      <w:tr>
        <w:trPr>
          <w:trHeight w:val="23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1.02</w:t>
            </w:r>
            <w:r>
              <w:rPr>
                <w:rFonts w:ascii="Times New Roman" w:cs="Times New Roman" w:eastAsia="Times New Roman" w:hAnsi="Times New Roman"/>
                <w:sz w:val="18"/>
                <w:szCs w:val="18"/>
                <w:i w:val="1"/>
                <w:iCs w:val="1"/>
                <w:color w:val="auto"/>
              </w:rPr>
              <w:t>.</w:t>
            </w:r>
          </w:p>
        </w:tc>
        <w:tc>
          <w:tcPr>
            <w:tcW w:w="9480" w:type="dxa"/>
            <w:vAlign w:val="bottom"/>
            <w:gridSpan w:val="3"/>
          </w:tcPr>
          <w:p>
            <w:pPr>
              <w:ind w:left="180"/>
              <w:spacing w:after="0"/>
              <w:rPr>
                <w:sz w:val="20"/>
                <w:szCs w:val="20"/>
                <w:color w:val="auto"/>
              </w:rPr>
            </w:pPr>
            <w:r>
              <w:rPr>
                <w:rFonts w:ascii="Times New Roman" w:cs="Times New Roman" w:eastAsia="Times New Roman" w:hAnsi="Times New Roman"/>
                <w:sz w:val="18"/>
                <w:szCs w:val="18"/>
                <w:i w:val="1"/>
                <w:iCs w:val="1"/>
                <w:color w:val="auto"/>
              </w:rPr>
              <w:t>References to Interest</w:t>
            </w:r>
          </w:p>
        </w:tc>
        <w:tc>
          <w:tcPr>
            <w:tcW w:w="3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w:t>
            </w:r>
          </w:p>
        </w:tc>
        <w:tc>
          <w:tcPr>
            <w:tcW w:w="0" w:type="dxa"/>
            <w:vAlign w:val="bottom"/>
          </w:tcPr>
          <w:p>
            <w:pPr>
              <w:spacing w:after="0"/>
              <w:rPr>
                <w:sz w:val="1"/>
                <w:szCs w:val="1"/>
                <w:color w:val="auto"/>
              </w:rPr>
            </w:pPr>
          </w:p>
        </w:tc>
      </w:tr>
      <w:tr>
        <w:trPr>
          <w:trHeight w:val="306"/>
        </w:trPr>
        <w:tc>
          <w:tcPr>
            <w:tcW w:w="1120" w:type="dxa"/>
            <w:vAlign w:val="bottom"/>
          </w:tcPr>
          <w:p>
            <w:pPr>
              <w:spacing w:after="0"/>
              <w:rPr>
                <w:sz w:val="24"/>
                <w:szCs w:val="24"/>
                <w:color w:val="auto"/>
              </w:rPr>
            </w:pPr>
          </w:p>
        </w:tc>
        <w:tc>
          <w:tcPr>
            <w:tcW w:w="3420" w:type="dxa"/>
            <w:vAlign w:val="bottom"/>
          </w:tcPr>
          <w:p>
            <w:pPr>
              <w:spacing w:after="0"/>
              <w:rPr>
                <w:sz w:val="24"/>
                <w:szCs w:val="24"/>
                <w:color w:val="auto"/>
              </w:rPr>
            </w:pPr>
          </w:p>
        </w:tc>
        <w:tc>
          <w:tcPr>
            <w:tcW w:w="6060" w:type="dxa"/>
            <w:vAlign w:val="bottom"/>
            <w:gridSpan w:val="2"/>
          </w:tcPr>
          <w:p>
            <w:pPr>
              <w:jc w:val="center"/>
              <w:ind w:right="3340"/>
              <w:spacing w:after="0"/>
              <w:rPr>
                <w:sz w:val="20"/>
                <w:szCs w:val="20"/>
                <w:color w:val="auto"/>
              </w:rPr>
            </w:pPr>
            <w:r>
              <w:rPr>
                <w:rFonts w:ascii="Times New Roman" w:cs="Times New Roman" w:eastAsia="Times New Roman" w:hAnsi="Times New Roman"/>
                <w:sz w:val="18"/>
                <w:szCs w:val="18"/>
                <w:color w:val="auto"/>
                <w:w w:val="98"/>
              </w:rPr>
              <w:t>ARTICLE 2</w:t>
            </w:r>
          </w:p>
        </w:tc>
        <w:tc>
          <w:tcPr>
            <w:tcW w:w="3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34"/>
        </w:trPr>
        <w:tc>
          <w:tcPr>
            <w:tcW w:w="1120" w:type="dxa"/>
            <w:vAlign w:val="bottom"/>
          </w:tcPr>
          <w:p>
            <w:pPr>
              <w:spacing w:after="0"/>
              <w:rPr>
                <w:sz w:val="20"/>
                <w:szCs w:val="20"/>
                <w:color w:val="auto"/>
              </w:rPr>
            </w:pPr>
          </w:p>
        </w:tc>
        <w:tc>
          <w:tcPr>
            <w:tcW w:w="9480" w:type="dxa"/>
            <w:vAlign w:val="bottom"/>
            <w:gridSpan w:val="3"/>
          </w:tcPr>
          <w:p>
            <w:pPr>
              <w:jc w:val="center"/>
              <w:spacing w:after="0"/>
              <w:rPr>
                <w:sz w:val="20"/>
                <w:szCs w:val="20"/>
                <w:color w:val="auto"/>
              </w:rPr>
            </w:pPr>
            <w:r>
              <w:rPr>
                <w:rFonts w:ascii="Times New Roman" w:cs="Times New Roman" w:eastAsia="Times New Roman" w:hAnsi="Times New Roman"/>
                <w:sz w:val="18"/>
                <w:szCs w:val="18"/>
                <w:color w:val="auto"/>
              </w:rPr>
              <w:t>I</w:t>
            </w:r>
            <w:r>
              <w:rPr>
                <w:rFonts w:ascii="Times New Roman" w:cs="Times New Roman" w:eastAsia="Times New Roman" w:hAnsi="Times New Roman"/>
                <w:sz w:val="14"/>
                <w:szCs w:val="14"/>
                <w:color w:val="auto"/>
              </w:rPr>
              <w:t>SSUE</w:t>
            </w:r>
            <w:r>
              <w:rPr>
                <w:rFonts w:ascii="Times New Roman" w:cs="Times New Roman" w:eastAsia="Times New Roman" w:hAnsi="Times New Roman"/>
                <w:sz w:val="18"/>
                <w:szCs w:val="18"/>
                <w:color w:val="auto"/>
              </w:rPr>
              <w:t>, D</w:t>
            </w:r>
            <w:r>
              <w:rPr>
                <w:rFonts w:ascii="Times New Roman" w:cs="Times New Roman" w:eastAsia="Times New Roman" w:hAnsi="Times New Roman"/>
                <w:sz w:val="14"/>
                <w:szCs w:val="14"/>
                <w:color w:val="auto"/>
              </w:rPr>
              <w:t>ESCRIPTION</w:t>
            </w:r>
            <w:r>
              <w:rPr>
                <w:rFonts w:ascii="Times New Roman" w:cs="Times New Roman" w:eastAsia="Times New Roman" w:hAnsi="Times New Roman"/>
                <w:sz w:val="18"/>
                <w:szCs w:val="18"/>
                <w:color w:val="auto"/>
              </w:rPr>
              <w:t>, E</w:t>
            </w:r>
            <w:r>
              <w:rPr>
                <w:rFonts w:ascii="Times New Roman" w:cs="Times New Roman" w:eastAsia="Times New Roman" w:hAnsi="Times New Roman"/>
                <w:sz w:val="14"/>
                <w:szCs w:val="14"/>
                <w:color w:val="auto"/>
              </w:rPr>
              <w:t>XECUTION</w:t>
            </w:r>
            <w:r>
              <w:rPr>
                <w:rFonts w:ascii="Times New Roman" w:cs="Times New Roman" w:eastAsia="Times New Roman" w:hAnsi="Times New Roman"/>
                <w:sz w:val="18"/>
                <w:szCs w:val="18"/>
                <w:color w:val="auto"/>
              </w:rPr>
              <w:t>, R</w:t>
            </w:r>
            <w:r>
              <w:rPr>
                <w:rFonts w:ascii="Times New Roman" w:cs="Times New Roman" w:eastAsia="Times New Roman" w:hAnsi="Times New Roman"/>
                <w:sz w:val="14"/>
                <w:szCs w:val="14"/>
                <w:color w:val="auto"/>
              </w:rPr>
              <w:t>EGISTRATION AND</w:t>
            </w:r>
            <w:r>
              <w:rPr>
                <w:rFonts w:ascii="Times New Roman" w:cs="Times New Roman" w:eastAsia="Times New Roman" w:hAnsi="Times New Roman"/>
                <w:sz w:val="18"/>
                <w:szCs w:val="18"/>
                <w:color w:val="auto"/>
              </w:rPr>
              <w:t xml:space="preserve"> E</w:t>
            </w:r>
            <w:r>
              <w:rPr>
                <w:rFonts w:ascii="Times New Roman" w:cs="Times New Roman" w:eastAsia="Times New Roman" w:hAnsi="Times New Roman"/>
                <w:sz w:val="14"/>
                <w:szCs w:val="14"/>
                <w:color w:val="auto"/>
              </w:rPr>
              <w:t>XCHANGE OF</w:t>
            </w:r>
            <w:r>
              <w:rPr>
                <w:rFonts w:ascii="Times New Roman" w:cs="Times New Roman" w:eastAsia="Times New Roman" w:hAnsi="Times New Roman"/>
                <w:sz w:val="18"/>
                <w:szCs w:val="18"/>
                <w:color w:val="auto"/>
              </w:rPr>
              <w:t xml:space="preserve"> N</w:t>
            </w:r>
            <w:r>
              <w:rPr>
                <w:rFonts w:ascii="Times New Roman" w:cs="Times New Roman" w:eastAsia="Times New Roman" w:hAnsi="Times New Roman"/>
                <w:sz w:val="14"/>
                <w:szCs w:val="14"/>
                <w:color w:val="auto"/>
              </w:rPr>
              <w:t>OTES</w:t>
            </w:r>
          </w:p>
        </w:tc>
        <w:tc>
          <w:tcPr>
            <w:tcW w:w="36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304"/>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2.01</w:t>
            </w:r>
            <w:r>
              <w:rPr>
                <w:rFonts w:ascii="Times New Roman" w:cs="Times New Roman" w:eastAsia="Times New Roman" w:hAnsi="Times New Roman"/>
                <w:sz w:val="18"/>
                <w:szCs w:val="18"/>
                <w:i w:val="1"/>
                <w:iCs w:val="1"/>
                <w:color w:val="auto"/>
              </w:rPr>
              <w:t>.</w:t>
            </w:r>
          </w:p>
        </w:tc>
        <w:tc>
          <w:tcPr>
            <w:tcW w:w="9480" w:type="dxa"/>
            <w:vAlign w:val="bottom"/>
            <w:gridSpan w:val="3"/>
          </w:tcPr>
          <w:p>
            <w:pPr>
              <w:ind w:left="180"/>
              <w:spacing w:after="0"/>
              <w:rPr>
                <w:sz w:val="20"/>
                <w:szCs w:val="20"/>
                <w:color w:val="auto"/>
              </w:rPr>
            </w:pPr>
            <w:r>
              <w:rPr>
                <w:rFonts w:ascii="Times New Roman" w:cs="Times New Roman" w:eastAsia="Times New Roman" w:hAnsi="Times New Roman"/>
                <w:sz w:val="18"/>
                <w:szCs w:val="18"/>
                <w:i w:val="1"/>
                <w:iCs w:val="1"/>
                <w:color w:val="auto"/>
              </w:rPr>
              <w:t>Designation and Amount</w:t>
            </w:r>
          </w:p>
        </w:tc>
        <w:tc>
          <w:tcPr>
            <w:tcW w:w="3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w:t>
            </w:r>
          </w:p>
        </w:tc>
        <w:tc>
          <w:tcPr>
            <w:tcW w:w="0" w:type="dxa"/>
            <w:vAlign w:val="bottom"/>
          </w:tcPr>
          <w:p>
            <w:pPr>
              <w:spacing w:after="0"/>
              <w:rPr>
                <w:sz w:val="1"/>
                <w:szCs w:val="1"/>
                <w:color w:val="auto"/>
              </w:rPr>
            </w:pP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2.02</w:t>
            </w:r>
            <w:r>
              <w:rPr>
                <w:rFonts w:ascii="Times New Roman" w:cs="Times New Roman" w:eastAsia="Times New Roman" w:hAnsi="Times New Roman"/>
                <w:sz w:val="18"/>
                <w:szCs w:val="18"/>
                <w:i w:val="1"/>
                <w:iCs w:val="1"/>
                <w:color w:val="auto"/>
              </w:rPr>
              <w:t>.</w:t>
            </w:r>
          </w:p>
        </w:tc>
        <w:tc>
          <w:tcPr>
            <w:tcW w:w="9480" w:type="dxa"/>
            <w:vAlign w:val="bottom"/>
            <w:gridSpan w:val="3"/>
          </w:tcPr>
          <w:p>
            <w:pPr>
              <w:ind w:left="180"/>
              <w:spacing w:after="0"/>
              <w:rPr>
                <w:sz w:val="20"/>
                <w:szCs w:val="20"/>
                <w:color w:val="auto"/>
              </w:rPr>
            </w:pPr>
            <w:r>
              <w:rPr>
                <w:rFonts w:ascii="Times New Roman" w:cs="Times New Roman" w:eastAsia="Times New Roman" w:hAnsi="Times New Roman"/>
                <w:sz w:val="18"/>
                <w:szCs w:val="18"/>
                <w:i w:val="1"/>
                <w:iCs w:val="1"/>
                <w:color w:val="auto"/>
              </w:rPr>
              <w:t>Form of Notes</w:t>
            </w:r>
          </w:p>
        </w:tc>
        <w:tc>
          <w:tcPr>
            <w:tcW w:w="3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w:t>
            </w:r>
          </w:p>
        </w:tc>
        <w:tc>
          <w:tcPr>
            <w:tcW w:w="0" w:type="dxa"/>
            <w:vAlign w:val="bottom"/>
          </w:tcPr>
          <w:p>
            <w:pPr>
              <w:spacing w:after="0"/>
              <w:rPr>
                <w:sz w:val="1"/>
                <w:szCs w:val="1"/>
                <w:color w:val="auto"/>
              </w:rPr>
            </w:pP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2.03</w:t>
            </w:r>
            <w:r>
              <w:rPr>
                <w:rFonts w:ascii="Times New Roman" w:cs="Times New Roman" w:eastAsia="Times New Roman" w:hAnsi="Times New Roman"/>
                <w:sz w:val="18"/>
                <w:szCs w:val="18"/>
                <w:i w:val="1"/>
                <w:iCs w:val="1"/>
                <w:color w:val="auto"/>
              </w:rPr>
              <w:t>.</w:t>
            </w:r>
          </w:p>
        </w:tc>
        <w:tc>
          <w:tcPr>
            <w:tcW w:w="9480" w:type="dxa"/>
            <w:vAlign w:val="bottom"/>
            <w:gridSpan w:val="3"/>
          </w:tcPr>
          <w:p>
            <w:pPr>
              <w:ind w:left="180"/>
              <w:spacing w:after="0"/>
              <w:rPr>
                <w:sz w:val="20"/>
                <w:szCs w:val="20"/>
                <w:color w:val="auto"/>
              </w:rPr>
            </w:pPr>
            <w:r>
              <w:rPr>
                <w:rFonts w:ascii="Times New Roman" w:cs="Times New Roman" w:eastAsia="Times New Roman" w:hAnsi="Times New Roman"/>
                <w:sz w:val="18"/>
                <w:szCs w:val="18"/>
                <w:i w:val="1"/>
                <w:iCs w:val="1"/>
                <w:color w:val="auto"/>
              </w:rPr>
              <w:t>Date and Denomination of Notes; Payments of Interest and Defaulted Amounts</w:t>
            </w:r>
          </w:p>
        </w:tc>
        <w:tc>
          <w:tcPr>
            <w:tcW w:w="3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w:t>
            </w:r>
          </w:p>
        </w:tc>
        <w:tc>
          <w:tcPr>
            <w:tcW w:w="0" w:type="dxa"/>
            <w:vAlign w:val="bottom"/>
          </w:tcPr>
          <w:p>
            <w:pPr>
              <w:spacing w:after="0"/>
              <w:rPr>
                <w:sz w:val="1"/>
                <w:szCs w:val="1"/>
                <w:color w:val="auto"/>
              </w:rPr>
            </w:pP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2.04</w:t>
            </w:r>
            <w:r>
              <w:rPr>
                <w:rFonts w:ascii="Times New Roman" w:cs="Times New Roman" w:eastAsia="Times New Roman" w:hAnsi="Times New Roman"/>
                <w:sz w:val="18"/>
                <w:szCs w:val="18"/>
                <w:i w:val="1"/>
                <w:iCs w:val="1"/>
                <w:color w:val="auto"/>
              </w:rPr>
              <w:t>.</w:t>
            </w:r>
          </w:p>
        </w:tc>
        <w:tc>
          <w:tcPr>
            <w:tcW w:w="9480" w:type="dxa"/>
            <w:vAlign w:val="bottom"/>
            <w:gridSpan w:val="3"/>
          </w:tcPr>
          <w:p>
            <w:pPr>
              <w:ind w:left="180"/>
              <w:spacing w:after="0"/>
              <w:rPr>
                <w:sz w:val="20"/>
                <w:szCs w:val="20"/>
                <w:color w:val="auto"/>
              </w:rPr>
            </w:pPr>
            <w:r>
              <w:rPr>
                <w:rFonts w:ascii="Times New Roman" w:cs="Times New Roman" w:eastAsia="Times New Roman" w:hAnsi="Times New Roman"/>
                <w:sz w:val="18"/>
                <w:szCs w:val="18"/>
                <w:i w:val="1"/>
                <w:iCs w:val="1"/>
                <w:color w:val="auto"/>
              </w:rPr>
              <w:t>Execution, Authentication and Delivery of Notes</w:t>
            </w:r>
          </w:p>
        </w:tc>
        <w:tc>
          <w:tcPr>
            <w:tcW w:w="3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w:t>
            </w:r>
          </w:p>
        </w:tc>
        <w:tc>
          <w:tcPr>
            <w:tcW w:w="0" w:type="dxa"/>
            <w:vAlign w:val="bottom"/>
          </w:tcPr>
          <w:p>
            <w:pPr>
              <w:spacing w:after="0"/>
              <w:rPr>
                <w:sz w:val="1"/>
                <w:szCs w:val="1"/>
                <w:color w:val="auto"/>
              </w:rPr>
            </w:pP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2.05</w:t>
            </w:r>
            <w:r>
              <w:rPr>
                <w:rFonts w:ascii="Times New Roman" w:cs="Times New Roman" w:eastAsia="Times New Roman" w:hAnsi="Times New Roman"/>
                <w:sz w:val="18"/>
                <w:szCs w:val="18"/>
                <w:i w:val="1"/>
                <w:iCs w:val="1"/>
                <w:color w:val="auto"/>
              </w:rPr>
              <w:t>.</w:t>
            </w:r>
          </w:p>
        </w:tc>
        <w:tc>
          <w:tcPr>
            <w:tcW w:w="9480" w:type="dxa"/>
            <w:vAlign w:val="bottom"/>
            <w:gridSpan w:val="3"/>
          </w:tcPr>
          <w:p>
            <w:pPr>
              <w:ind w:left="180"/>
              <w:spacing w:after="0"/>
              <w:rPr>
                <w:sz w:val="20"/>
                <w:szCs w:val="20"/>
                <w:color w:val="auto"/>
              </w:rPr>
            </w:pPr>
            <w:r>
              <w:rPr>
                <w:rFonts w:ascii="Times New Roman" w:cs="Times New Roman" w:eastAsia="Times New Roman" w:hAnsi="Times New Roman"/>
                <w:sz w:val="18"/>
                <w:szCs w:val="18"/>
                <w:i w:val="1"/>
                <w:iCs w:val="1"/>
                <w:color w:val="auto"/>
              </w:rPr>
              <w:t>Exchange and Registration of Transfer of Notes; Restrictions on Transfer; Depositary</w:t>
            </w:r>
          </w:p>
        </w:tc>
        <w:tc>
          <w:tcPr>
            <w:tcW w:w="3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w:t>
            </w:r>
          </w:p>
        </w:tc>
        <w:tc>
          <w:tcPr>
            <w:tcW w:w="0" w:type="dxa"/>
            <w:vAlign w:val="bottom"/>
          </w:tcPr>
          <w:p>
            <w:pPr>
              <w:spacing w:after="0"/>
              <w:rPr>
                <w:sz w:val="1"/>
                <w:szCs w:val="1"/>
                <w:color w:val="auto"/>
              </w:rPr>
            </w:pP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2.06</w:t>
            </w:r>
            <w:r>
              <w:rPr>
                <w:rFonts w:ascii="Times New Roman" w:cs="Times New Roman" w:eastAsia="Times New Roman" w:hAnsi="Times New Roman"/>
                <w:sz w:val="18"/>
                <w:szCs w:val="18"/>
                <w:i w:val="1"/>
                <w:iCs w:val="1"/>
                <w:color w:val="auto"/>
              </w:rPr>
              <w:t>.</w:t>
            </w:r>
          </w:p>
        </w:tc>
        <w:tc>
          <w:tcPr>
            <w:tcW w:w="9480" w:type="dxa"/>
            <w:vAlign w:val="bottom"/>
            <w:gridSpan w:val="3"/>
          </w:tcPr>
          <w:p>
            <w:pPr>
              <w:ind w:left="180"/>
              <w:spacing w:after="0"/>
              <w:rPr>
                <w:sz w:val="20"/>
                <w:szCs w:val="20"/>
                <w:color w:val="auto"/>
              </w:rPr>
            </w:pPr>
            <w:r>
              <w:rPr>
                <w:rFonts w:ascii="Times New Roman" w:cs="Times New Roman" w:eastAsia="Times New Roman" w:hAnsi="Times New Roman"/>
                <w:sz w:val="18"/>
                <w:szCs w:val="18"/>
                <w:i w:val="1"/>
                <w:iCs w:val="1"/>
                <w:color w:val="auto"/>
              </w:rPr>
              <w:t>Mutilated, Destroyed, Lost or Stolen Notes</w:t>
            </w:r>
          </w:p>
        </w:tc>
        <w:tc>
          <w:tcPr>
            <w:tcW w:w="3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24</w:t>
            </w:r>
          </w:p>
        </w:tc>
        <w:tc>
          <w:tcPr>
            <w:tcW w:w="0" w:type="dxa"/>
            <w:vAlign w:val="bottom"/>
          </w:tcPr>
          <w:p>
            <w:pPr>
              <w:spacing w:after="0"/>
              <w:rPr>
                <w:sz w:val="1"/>
                <w:szCs w:val="1"/>
                <w:color w:val="auto"/>
              </w:rPr>
            </w:pP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2.07</w:t>
            </w:r>
            <w:r>
              <w:rPr>
                <w:rFonts w:ascii="Times New Roman" w:cs="Times New Roman" w:eastAsia="Times New Roman" w:hAnsi="Times New Roman"/>
                <w:sz w:val="18"/>
                <w:szCs w:val="18"/>
                <w:i w:val="1"/>
                <w:iCs w:val="1"/>
                <w:color w:val="auto"/>
              </w:rPr>
              <w:t>.</w:t>
            </w:r>
          </w:p>
        </w:tc>
        <w:tc>
          <w:tcPr>
            <w:tcW w:w="9480" w:type="dxa"/>
            <w:vAlign w:val="bottom"/>
            <w:gridSpan w:val="3"/>
          </w:tcPr>
          <w:p>
            <w:pPr>
              <w:ind w:left="180"/>
              <w:spacing w:after="0"/>
              <w:rPr>
                <w:sz w:val="20"/>
                <w:szCs w:val="20"/>
                <w:color w:val="auto"/>
              </w:rPr>
            </w:pPr>
            <w:r>
              <w:rPr>
                <w:rFonts w:ascii="Times New Roman" w:cs="Times New Roman" w:eastAsia="Times New Roman" w:hAnsi="Times New Roman"/>
                <w:sz w:val="18"/>
                <w:szCs w:val="18"/>
                <w:i w:val="1"/>
                <w:iCs w:val="1"/>
                <w:color w:val="auto"/>
              </w:rPr>
              <w:t>Temporary Notes</w:t>
            </w:r>
          </w:p>
        </w:tc>
        <w:tc>
          <w:tcPr>
            <w:tcW w:w="3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w:t>
            </w:r>
          </w:p>
        </w:tc>
        <w:tc>
          <w:tcPr>
            <w:tcW w:w="0" w:type="dxa"/>
            <w:vAlign w:val="bottom"/>
          </w:tcPr>
          <w:p>
            <w:pPr>
              <w:spacing w:after="0"/>
              <w:rPr>
                <w:sz w:val="1"/>
                <w:szCs w:val="1"/>
                <w:color w:val="auto"/>
              </w:rPr>
            </w:pP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2.08</w:t>
            </w:r>
            <w:r>
              <w:rPr>
                <w:rFonts w:ascii="Times New Roman" w:cs="Times New Roman" w:eastAsia="Times New Roman" w:hAnsi="Times New Roman"/>
                <w:sz w:val="18"/>
                <w:szCs w:val="18"/>
                <w:i w:val="1"/>
                <w:iCs w:val="1"/>
                <w:color w:val="auto"/>
              </w:rPr>
              <w:t>.</w:t>
            </w:r>
          </w:p>
        </w:tc>
        <w:tc>
          <w:tcPr>
            <w:tcW w:w="9480" w:type="dxa"/>
            <w:vAlign w:val="bottom"/>
            <w:gridSpan w:val="3"/>
          </w:tcPr>
          <w:p>
            <w:pPr>
              <w:ind w:left="180"/>
              <w:spacing w:after="0"/>
              <w:rPr>
                <w:sz w:val="20"/>
                <w:szCs w:val="20"/>
                <w:color w:val="auto"/>
              </w:rPr>
            </w:pPr>
            <w:r>
              <w:rPr>
                <w:rFonts w:ascii="Times New Roman" w:cs="Times New Roman" w:eastAsia="Times New Roman" w:hAnsi="Times New Roman"/>
                <w:sz w:val="18"/>
                <w:szCs w:val="18"/>
                <w:i w:val="1"/>
                <w:iCs w:val="1"/>
                <w:color w:val="auto"/>
              </w:rPr>
              <w:t>Cancellation of Notes Paid, Converted, Etc.</w:t>
            </w:r>
          </w:p>
        </w:tc>
        <w:tc>
          <w:tcPr>
            <w:tcW w:w="3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w:t>
            </w:r>
          </w:p>
        </w:tc>
        <w:tc>
          <w:tcPr>
            <w:tcW w:w="0" w:type="dxa"/>
            <w:vAlign w:val="bottom"/>
          </w:tcPr>
          <w:p>
            <w:pPr>
              <w:spacing w:after="0"/>
              <w:rPr>
                <w:sz w:val="1"/>
                <w:szCs w:val="1"/>
                <w:color w:val="auto"/>
              </w:rPr>
            </w:pP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2.09</w:t>
            </w:r>
            <w:r>
              <w:rPr>
                <w:rFonts w:ascii="Times New Roman" w:cs="Times New Roman" w:eastAsia="Times New Roman" w:hAnsi="Times New Roman"/>
                <w:sz w:val="18"/>
                <w:szCs w:val="18"/>
                <w:i w:val="1"/>
                <w:iCs w:val="1"/>
                <w:color w:val="auto"/>
              </w:rPr>
              <w:t>.</w:t>
            </w:r>
          </w:p>
        </w:tc>
        <w:tc>
          <w:tcPr>
            <w:tcW w:w="9480" w:type="dxa"/>
            <w:vAlign w:val="bottom"/>
            <w:gridSpan w:val="3"/>
          </w:tcPr>
          <w:p>
            <w:pPr>
              <w:ind w:left="180"/>
              <w:spacing w:after="0"/>
              <w:rPr>
                <w:sz w:val="20"/>
                <w:szCs w:val="20"/>
                <w:color w:val="auto"/>
              </w:rPr>
            </w:pPr>
            <w:r>
              <w:rPr>
                <w:rFonts w:ascii="Times New Roman" w:cs="Times New Roman" w:eastAsia="Times New Roman" w:hAnsi="Times New Roman"/>
                <w:sz w:val="18"/>
                <w:szCs w:val="18"/>
                <w:i w:val="1"/>
                <w:iCs w:val="1"/>
                <w:color w:val="auto"/>
              </w:rPr>
              <w:t>CUSIP Numbers</w:t>
            </w:r>
          </w:p>
        </w:tc>
        <w:tc>
          <w:tcPr>
            <w:tcW w:w="3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w:t>
            </w:r>
          </w:p>
        </w:tc>
        <w:tc>
          <w:tcPr>
            <w:tcW w:w="0" w:type="dxa"/>
            <w:vAlign w:val="bottom"/>
          </w:tcPr>
          <w:p>
            <w:pPr>
              <w:spacing w:after="0"/>
              <w:rPr>
                <w:sz w:val="1"/>
                <w:szCs w:val="1"/>
                <w:color w:val="auto"/>
              </w:rPr>
            </w:pPr>
          </w:p>
        </w:tc>
      </w:tr>
      <w:tr>
        <w:trPr>
          <w:trHeight w:val="23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2.10</w:t>
            </w:r>
            <w:r>
              <w:rPr>
                <w:rFonts w:ascii="Times New Roman" w:cs="Times New Roman" w:eastAsia="Times New Roman" w:hAnsi="Times New Roman"/>
                <w:sz w:val="18"/>
                <w:szCs w:val="18"/>
                <w:i w:val="1"/>
                <w:iCs w:val="1"/>
                <w:color w:val="auto"/>
              </w:rPr>
              <w:t>.</w:t>
            </w:r>
          </w:p>
        </w:tc>
        <w:tc>
          <w:tcPr>
            <w:tcW w:w="9480" w:type="dxa"/>
            <w:vAlign w:val="bottom"/>
            <w:gridSpan w:val="3"/>
          </w:tcPr>
          <w:p>
            <w:pPr>
              <w:ind w:left="180"/>
              <w:spacing w:after="0"/>
              <w:rPr>
                <w:sz w:val="20"/>
                <w:szCs w:val="20"/>
                <w:color w:val="auto"/>
              </w:rPr>
            </w:pPr>
            <w:r>
              <w:rPr>
                <w:rFonts w:ascii="Times New Roman" w:cs="Times New Roman" w:eastAsia="Times New Roman" w:hAnsi="Times New Roman"/>
                <w:sz w:val="18"/>
                <w:szCs w:val="18"/>
                <w:i w:val="1"/>
                <w:iCs w:val="1"/>
                <w:color w:val="auto"/>
              </w:rPr>
              <w:t>Additional Notes; Repurchases</w:t>
            </w:r>
          </w:p>
        </w:tc>
        <w:tc>
          <w:tcPr>
            <w:tcW w:w="3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w:t>
            </w:r>
          </w:p>
        </w:tc>
        <w:tc>
          <w:tcPr>
            <w:tcW w:w="0" w:type="dxa"/>
            <w:vAlign w:val="bottom"/>
          </w:tcPr>
          <w:p>
            <w:pPr>
              <w:spacing w:after="0"/>
              <w:rPr>
                <w:sz w:val="1"/>
                <w:szCs w:val="1"/>
                <w:color w:val="auto"/>
              </w:rPr>
            </w:pPr>
          </w:p>
        </w:tc>
      </w:tr>
      <w:tr>
        <w:trPr>
          <w:trHeight w:val="306"/>
        </w:trPr>
        <w:tc>
          <w:tcPr>
            <w:tcW w:w="1120" w:type="dxa"/>
            <w:vAlign w:val="bottom"/>
          </w:tcPr>
          <w:p>
            <w:pPr>
              <w:spacing w:after="0"/>
              <w:rPr>
                <w:sz w:val="24"/>
                <w:szCs w:val="24"/>
                <w:color w:val="auto"/>
              </w:rPr>
            </w:pPr>
          </w:p>
        </w:tc>
        <w:tc>
          <w:tcPr>
            <w:tcW w:w="3420" w:type="dxa"/>
            <w:vAlign w:val="bottom"/>
          </w:tcPr>
          <w:p>
            <w:pPr>
              <w:spacing w:after="0"/>
              <w:rPr>
                <w:sz w:val="24"/>
                <w:szCs w:val="24"/>
                <w:color w:val="auto"/>
              </w:rPr>
            </w:pPr>
          </w:p>
        </w:tc>
        <w:tc>
          <w:tcPr>
            <w:tcW w:w="6060" w:type="dxa"/>
            <w:vAlign w:val="bottom"/>
            <w:gridSpan w:val="2"/>
          </w:tcPr>
          <w:p>
            <w:pPr>
              <w:jc w:val="center"/>
              <w:ind w:right="3340"/>
              <w:spacing w:after="0"/>
              <w:rPr>
                <w:sz w:val="20"/>
                <w:szCs w:val="20"/>
                <w:color w:val="auto"/>
              </w:rPr>
            </w:pPr>
            <w:r>
              <w:rPr>
                <w:rFonts w:ascii="Times New Roman" w:cs="Times New Roman" w:eastAsia="Times New Roman" w:hAnsi="Times New Roman"/>
                <w:sz w:val="18"/>
                <w:szCs w:val="18"/>
                <w:color w:val="auto"/>
                <w:w w:val="98"/>
              </w:rPr>
              <w:t>ARTICLE 3</w:t>
            </w:r>
          </w:p>
        </w:tc>
        <w:tc>
          <w:tcPr>
            <w:tcW w:w="3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34"/>
        </w:trPr>
        <w:tc>
          <w:tcPr>
            <w:tcW w:w="1120" w:type="dxa"/>
            <w:vAlign w:val="bottom"/>
          </w:tcPr>
          <w:p>
            <w:pPr>
              <w:spacing w:after="0"/>
              <w:rPr>
                <w:sz w:val="20"/>
                <w:szCs w:val="20"/>
                <w:color w:val="auto"/>
              </w:rPr>
            </w:pPr>
          </w:p>
        </w:tc>
        <w:tc>
          <w:tcPr>
            <w:tcW w:w="3420" w:type="dxa"/>
            <w:vAlign w:val="bottom"/>
          </w:tcPr>
          <w:p>
            <w:pPr>
              <w:spacing w:after="0"/>
              <w:rPr>
                <w:sz w:val="20"/>
                <w:szCs w:val="20"/>
                <w:color w:val="auto"/>
              </w:rPr>
            </w:pPr>
          </w:p>
        </w:tc>
        <w:tc>
          <w:tcPr>
            <w:tcW w:w="6060" w:type="dxa"/>
            <w:vAlign w:val="bottom"/>
            <w:gridSpan w:val="2"/>
          </w:tcPr>
          <w:p>
            <w:pPr>
              <w:jc w:val="center"/>
              <w:ind w:right="3340"/>
              <w:spacing w:after="0"/>
              <w:rPr>
                <w:sz w:val="20"/>
                <w:szCs w:val="20"/>
                <w:color w:val="auto"/>
              </w:rPr>
            </w:pPr>
            <w:r>
              <w:rPr>
                <w:rFonts w:ascii="Times New Roman" w:cs="Times New Roman" w:eastAsia="Times New Roman" w:hAnsi="Times New Roman"/>
                <w:sz w:val="18"/>
                <w:szCs w:val="18"/>
                <w:color w:val="auto"/>
              </w:rPr>
              <w:t>S</w:t>
            </w:r>
            <w:r>
              <w:rPr>
                <w:rFonts w:ascii="Times New Roman" w:cs="Times New Roman" w:eastAsia="Times New Roman" w:hAnsi="Times New Roman"/>
                <w:sz w:val="14"/>
                <w:szCs w:val="14"/>
                <w:color w:val="auto"/>
              </w:rPr>
              <w:t>ATISFACTION AND</w:t>
            </w:r>
            <w:r>
              <w:rPr>
                <w:rFonts w:ascii="Times New Roman" w:cs="Times New Roman" w:eastAsia="Times New Roman" w:hAnsi="Times New Roman"/>
                <w:sz w:val="18"/>
                <w:szCs w:val="18"/>
                <w:color w:val="auto"/>
              </w:rPr>
              <w:t xml:space="preserve"> D</w:t>
            </w:r>
            <w:r>
              <w:rPr>
                <w:rFonts w:ascii="Times New Roman" w:cs="Times New Roman" w:eastAsia="Times New Roman" w:hAnsi="Times New Roman"/>
                <w:sz w:val="14"/>
                <w:szCs w:val="14"/>
                <w:color w:val="auto"/>
              </w:rPr>
              <w:t>ISCHARGE</w:t>
            </w:r>
          </w:p>
        </w:tc>
        <w:tc>
          <w:tcPr>
            <w:tcW w:w="36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324"/>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3.01</w:t>
            </w:r>
            <w:r>
              <w:rPr>
                <w:rFonts w:ascii="Times New Roman" w:cs="Times New Roman" w:eastAsia="Times New Roman" w:hAnsi="Times New Roman"/>
                <w:sz w:val="18"/>
                <w:szCs w:val="18"/>
                <w:i w:val="1"/>
                <w:iCs w:val="1"/>
                <w:color w:val="auto"/>
              </w:rPr>
              <w:t>.</w:t>
            </w:r>
          </w:p>
        </w:tc>
        <w:tc>
          <w:tcPr>
            <w:tcW w:w="9480" w:type="dxa"/>
            <w:vAlign w:val="bottom"/>
            <w:gridSpan w:val="3"/>
          </w:tcPr>
          <w:p>
            <w:pPr>
              <w:ind w:left="180"/>
              <w:spacing w:after="0"/>
              <w:rPr>
                <w:sz w:val="20"/>
                <w:szCs w:val="20"/>
                <w:color w:val="auto"/>
              </w:rPr>
            </w:pPr>
            <w:r>
              <w:rPr>
                <w:rFonts w:ascii="Times New Roman" w:cs="Times New Roman" w:eastAsia="Times New Roman" w:hAnsi="Times New Roman"/>
                <w:sz w:val="18"/>
                <w:szCs w:val="18"/>
                <w:i w:val="1"/>
                <w:iCs w:val="1"/>
                <w:color w:val="auto"/>
              </w:rPr>
              <w:t>Satisfaction and Discharge</w:t>
            </w:r>
          </w:p>
        </w:tc>
        <w:tc>
          <w:tcPr>
            <w:tcW w:w="3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26</w:t>
            </w:r>
          </w:p>
        </w:tc>
        <w:tc>
          <w:tcPr>
            <w:tcW w:w="0" w:type="dxa"/>
            <w:vAlign w:val="bottom"/>
          </w:tcPr>
          <w:p>
            <w:pPr>
              <w:spacing w:after="0"/>
              <w:rPr>
                <w:sz w:val="1"/>
                <w:szCs w:val="1"/>
                <w:color w:val="auto"/>
              </w:rPr>
            </w:pPr>
          </w:p>
        </w:tc>
      </w:tr>
      <w:tr>
        <w:trPr>
          <w:trHeight w:val="306"/>
        </w:trPr>
        <w:tc>
          <w:tcPr>
            <w:tcW w:w="1120" w:type="dxa"/>
            <w:vAlign w:val="bottom"/>
          </w:tcPr>
          <w:p>
            <w:pPr>
              <w:spacing w:after="0"/>
              <w:rPr>
                <w:sz w:val="24"/>
                <w:szCs w:val="24"/>
                <w:color w:val="auto"/>
              </w:rPr>
            </w:pPr>
          </w:p>
        </w:tc>
        <w:tc>
          <w:tcPr>
            <w:tcW w:w="3420" w:type="dxa"/>
            <w:vAlign w:val="bottom"/>
          </w:tcPr>
          <w:p>
            <w:pPr>
              <w:spacing w:after="0"/>
              <w:rPr>
                <w:sz w:val="24"/>
                <w:szCs w:val="24"/>
                <w:color w:val="auto"/>
              </w:rPr>
            </w:pPr>
          </w:p>
        </w:tc>
        <w:tc>
          <w:tcPr>
            <w:tcW w:w="6060" w:type="dxa"/>
            <w:vAlign w:val="bottom"/>
            <w:gridSpan w:val="2"/>
          </w:tcPr>
          <w:p>
            <w:pPr>
              <w:jc w:val="center"/>
              <w:ind w:right="3340"/>
              <w:spacing w:after="0"/>
              <w:rPr>
                <w:sz w:val="20"/>
                <w:szCs w:val="20"/>
                <w:color w:val="auto"/>
              </w:rPr>
            </w:pPr>
            <w:r>
              <w:rPr>
                <w:rFonts w:ascii="Times New Roman" w:cs="Times New Roman" w:eastAsia="Times New Roman" w:hAnsi="Times New Roman"/>
                <w:sz w:val="18"/>
                <w:szCs w:val="18"/>
                <w:color w:val="auto"/>
                <w:w w:val="98"/>
              </w:rPr>
              <w:t>ARTICLE 4</w:t>
            </w:r>
          </w:p>
        </w:tc>
        <w:tc>
          <w:tcPr>
            <w:tcW w:w="3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34"/>
        </w:trPr>
        <w:tc>
          <w:tcPr>
            <w:tcW w:w="1120" w:type="dxa"/>
            <w:vAlign w:val="bottom"/>
          </w:tcPr>
          <w:p>
            <w:pPr>
              <w:spacing w:after="0"/>
              <w:rPr>
                <w:sz w:val="20"/>
                <w:szCs w:val="20"/>
                <w:color w:val="auto"/>
              </w:rPr>
            </w:pPr>
          </w:p>
        </w:tc>
        <w:tc>
          <w:tcPr>
            <w:tcW w:w="9480" w:type="dxa"/>
            <w:vAlign w:val="bottom"/>
            <w:gridSpan w:val="3"/>
          </w:tcPr>
          <w:p>
            <w:pPr>
              <w:jc w:val="center"/>
              <w:spacing w:after="0"/>
              <w:rPr>
                <w:sz w:val="20"/>
                <w:szCs w:val="20"/>
                <w:color w:val="auto"/>
              </w:rPr>
            </w:pPr>
            <w:r>
              <w:rPr>
                <w:rFonts w:ascii="Times New Roman" w:cs="Times New Roman" w:eastAsia="Times New Roman" w:hAnsi="Times New Roman"/>
                <w:sz w:val="18"/>
                <w:szCs w:val="18"/>
                <w:color w:val="auto"/>
              </w:rPr>
              <w:t>P</w:t>
            </w:r>
            <w:r>
              <w:rPr>
                <w:rFonts w:ascii="Times New Roman" w:cs="Times New Roman" w:eastAsia="Times New Roman" w:hAnsi="Times New Roman"/>
                <w:sz w:val="14"/>
                <w:szCs w:val="14"/>
                <w:color w:val="auto"/>
              </w:rPr>
              <w:t>ARTICULAR</w:t>
            </w:r>
            <w:r>
              <w:rPr>
                <w:rFonts w:ascii="Times New Roman" w:cs="Times New Roman" w:eastAsia="Times New Roman" w:hAnsi="Times New Roman"/>
                <w:sz w:val="18"/>
                <w:szCs w:val="18"/>
                <w:color w:val="auto"/>
              </w:rPr>
              <w:t xml:space="preserve"> C</w:t>
            </w:r>
            <w:r>
              <w:rPr>
                <w:rFonts w:ascii="Times New Roman" w:cs="Times New Roman" w:eastAsia="Times New Roman" w:hAnsi="Times New Roman"/>
                <w:sz w:val="14"/>
                <w:szCs w:val="14"/>
                <w:color w:val="auto"/>
              </w:rPr>
              <w:t>OVENANTS OF THE</w:t>
            </w:r>
            <w:r>
              <w:rPr>
                <w:rFonts w:ascii="Times New Roman" w:cs="Times New Roman" w:eastAsia="Times New Roman" w:hAnsi="Times New Roman"/>
                <w:sz w:val="18"/>
                <w:szCs w:val="18"/>
                <w:color w:val="auto"/>
              </w:rPr>
              <w:t xml:space="preserve"> C</w:t>
            </w:r>
            <w:r>
              <w:rPr>
                <w:rFonts w:ascii="Times New Roman" w:cs="Times New Roman" w:eastAsia="Times New Roman" w:hAnsi="Times New Roman"/>
                <w:sz w:val="14"/>
                <w:szCs w:val="14"/>
                <w:color w:val="auto"/>
              </w:rPr>
              <w:t>OMPANY</w:t>
            </w:r>
          </w:p>
        </w:tc>
        <w:tc>
          <w:tcPr>
            <w:tcW w:w="36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304"/>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4.01</w:t>
            </w:r>
            <w:r>
              <w:rPr>
                <w:rFonts w:ascii="Times New Roman" w:cs="Times New Roman" w:eastAsia="Times New Roman" w:hAnsi="Times New Roman"/>
                <w:sz w:val="18"/>
                <w:szCs w:val="18"/>
                <w:i w:val="1"/>
                <w:iCs w:val="1"/>
                <w:color w:val="auto"/>
              </w:rPr>
              <w:t>.</w:t>
            </w:r>
          </w:p>
        </w:tc>
        <w:tc>
          <w:tcPr>
            <w:tcW w:w="9480" w:type="dxa"/>
            <w:vAlign w:val="bottom"/>
            <w:gridSpan w:val="3"/>
          </w:tcPr>
          <w:p>
            <w:pPr>
              <w:ind w:left="180"/>
              <w:spacing w:after="0"/>
              <w:rPr>
                <w:sz w:val="20"/>
                <w:szCs w:val="20"/>
                <w:color w:val="auto"/>
              </w:rPr>
            </w:pPr>
            <w:r>
              <w:rPr>
                <w:rFonts w:ascii="Times New Roman" w:cs="Times New Roman" w:eastAsia="Times New Roman" w:hAnsi="Times New Roman"/>
                <w:sz w:val="18"/>
                <w:szCs w:val="18"/>
                <w:i w:val="1"/>
                <w:iCs w:val="1"/>
                <w:color w:val="auto"/>
              </w:rPr>
              <w:t>Payment of Principal and Interest</w:t>
            </w:r>
          </w:p>
        </w:tc>
        <w:tc>
          <w:tcPr>
            <w:tcW w:w="3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26</w:t>
            </w:r>
          </w:p>
        </w:tc>
        <w:tc>
          <w:tcPr>
            <w:tcW w:w="0" w:type="dxa"/>
            <w:vAlign w:val="bottom"/>
          </w:tcPr>
          <w:p>
            <w:pPr>
              <w:spacing w:after="0"/>
              <w:rPr>
                <w:sz w:val="1"/>
                <w:szCs w:val="1"/>
                <w:color w:val="auto"/>
              </w:rPr>
            </w:pP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4.02</w:t>
            </w:r>
            <w:r>
              <w:rPr>
                <w:rFonts w:ascii="Times New Roman" w:cs="Times New Roman" w:eastAsia="Times New Roman" w:hAnsi="Times New Roman"/>
                <w:sz w:val="18"/>
                <w:szCs w:val="18"/>
                <w:i w:val="1"/>
                <w:iCs w:val="1"/>
                <w:color w:val="auto"/>
              </w:rPr>
              <w:t>.</w:t>
            </w:r>
          </w:p>
        </w:tc>
        <w:tc>
          <w:tcPr>
            <w:tcW w:w="9480" w:type="dxa"/>
            <w:vAlign w:val="bottom"/>
            <w:gridSpan w:val="3"/>
          </w:tcPr>
          <w:p>
            <w:pPr>
              <w:ind w:left="180"/>
              <w:spacing w:after="0"/>
              <w:rPr>
                <w:sz w:val="20"/>
                <w:szCs w:val="20"/>
                <w:color w:val="auto"/>
              </w:rPr>
            </w:pPr>
            <w:r>
              <w:rPr>
                <w:rFonts w:ascii="Times New Roman" w:cs="Times New Roman" w:eastAsia="Times New Roman" w:hAnsi="Times New Roman"/>
                <w:sz w:val="18"/>
                <w:szCs w:val="18"/>
                <w:i w:val="1"/>
                <w:iCs w:val="1"/>
                <w:color w:val="auto"/>
              </w:rPr>
              <w:t>Maintenance of Office or Agency</w:t>
            </w:r>
          </w:p>
        </w:tc>
        <w:tc>
          <w:tcPr>
            <w:tcW w:w="3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w:t>
            </w:r>
          </w:p>
        </w:tc>
        <w:tc>
          <w:tcPr>
            <w:tcW w:w="0" w:type="dxa"/>
            <w:vAlign w:val="bottom"/>
          </w:tcPr>
          <w:p>
            <w:pPr>
              <w:spacing w:after="0"/>
              <w:rPr>
                <w:sz w:val="1"/>
                <w:szCs w:val="1"/>
                <w:color w:val="auto"/>
              </w:rPr>
            </w:pP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4.03</w:t>
            </w:r>
            <w:r>
              <w:rPr>
                <w:rFonts w:ascii="Times New Roman" w:cs="Times New Roman" w:eastAsia="Times New Roman" w:hAnsi="Times New Roman"/>
                <w:sz w:val="18"/>
                <w:szCs w:val="18"/>
                <w:i w:val="1"/>
                <w:iCs w:val="1"/>
                <w:color w:val="auto"/>
              </w:rPr>
              <w:t>.</w:t>
            </w:r>
          </w:p>
        </w:tc>
        <w:tc>
          <w:tcPr>
            <w:tcW w:w="9480" w:type="dxa"/>
            <w:vAlign w:val="bottom"/>
            <w:gridSpan w:val="3"/>
          </w:tcPr>
          <w:p>
            <w:pPr>
              <w:ind w:left="180"/>
              <w:spacing w:after="0"/>
              <w:rPr>
                <w:sz w:val="20"/>
                <w:szCs w:val="20"/>
                <w:color w:val="auto"/>
              </w:rPr>
            </w:pPr>
            <w:r>
              <w:rPr>
                <w:rFonts w:ascii="Times New Roman" w:cs="Times New Roman" w:eastAsia="Times New Roman" w:hAnsi="Times New Roman"/>
                <w:sz w:val="18"/>
                <w:szCs w:val="18"/>
                <w:i w:val="1"/>
                <w:iCs w:val="1"/>
                <w:color w:val="auto"/>
              </w:rPr>
              <w:t>Appointments to Fill Vacancies in Trustee’s Office</w:t>
            </w:r>
          </w:p>
        </w:tc>
        <w:tc>
          <w:tcPr>
            <w:tcW w:w="3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w:t>
            </w:r>
          </w:p>
        </w:tc>
        <w:tc>
          <w:tcPr>
            <w:tcW w:w="0" w:type="dxa"/>
            <w:vAlign w:val="bottom"/>
          </w:tcPr>
          <w:p>
            <w:pPr>
              <w:spacing w:after="0"/>
              <w:rPr>
                <w:sz w:val="1"/>
                <w:szCs w:val="1"/>
                <w:color w:val="auto"/>
              </w:rPr>
            </w:pP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4.04</w:t>
            </w:r>
            <w:r>
              <w:rPr>
                <w:rFonts w:ascii="Times New Roman" w:cs="Times New Roman" w:eastAsia="Times New Roman" w:hAnsi="Times New Roman"/>
                <w:sz w:val="18"/>
                <w:szCs w:val="18"/>
                <w:i w:val="1"/>
                <w:iCs w:val="1"/>
                <w:color w:val="auto"/>
              </w:rPr>
              <w:t>.</w:t>
            </w:r>
          </w:p>
        </w:tc>
        <w:tc>
          <w:tcPr>
            <w:tcW w:w="9480" w:type="dxa"/>
            <w:vAlign w:val="bottom"/>
            <w:gridSpan w:val="3"/>
          </w:tcPr>
          <w:p>
            <w:pPr>
              <w:ind w:left="180"/>
              <w:spacing w:after="0"/>
              <w:rPr>
                <w:sz w:val="20"/>
                <w:szCs w:val="20"/>
                <w:color w:val="auto"/>
              </w:rPr>
            </w:pPr>
            <w:r>
              <w:rPr>
                <w:rFonts w:ascii="Times New Roman" w:cs="Times New Roman" w:eastAsia="Times New Roman" w:hAnsi="Times New Roman"/>
                <w:sz w:val="18"/>
                <w:szCs w:val="18"/>
                <w:i w:val="1"/>
                <w:iCs w:val="1"/>
                <w:color w:val="auto"/>
              </w:rPr>
              <w:t>Provisions as to Paying Agent</w:t>
            </w:r>
          </w:p>
        </w:tc>
        <w:tc>
          <w:tcPr>
            <w:tcW w:w="3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w:t>
            </w:r>
          </w:p>
        </w:tc>
        <w:tc>
          <w:tcPr>
            <w:tcW w:w="0" w:type="dxa"/>
            <w:vAlign w:val="bottom"/>
          </w:tcPr>
          <w:p>
            <w:pPr>
              <w:spacing w:after="0"/>
              <w:rPr>
                <w:sz w:val="1"/>
                <w:szCs w:val="1"/>
                <w:color w:val="auto"/>
              </w:rPr>
            </w:pP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4.05</w:t>
            </w:r>
            <w:r>
              <w:rPr>
                <w:rFonts w:ascii="Times New Roman" w:cs="Times New Roman" w:eastAsia="Times New Roman" w:hAnsi="Times New Roman"/>
                <w:sz w:val="18"/>
                <w:szCs w:val="18"/>
                <w:i w:val="1"/>
                <w:iCs w:val="1"/>
                <w:color w:val="auto"/>
              </w:rPr>
              <w:t>.</w:t>
            </w:r>
          </w:p>
        </w:tc>
        <w:tc>
          <w:tcPr>
            <w:tcW w:w="9480" w:type="dxa"/>
            <w:vAlign w:val="bottom"/>
            <w:gridSpan w:val="3"/>
          </w:tcPr>
          <w:p>
            <w:pPr>
              <w:ind w:left="180"/>
              <w:spacing w:after="0"/>
              <w:rPr>
                <w:sz w:val="20"/>
                <w:szCs w:val="20"/>
                <w:color w:val="auto"/>
              </w:rPr>
            </w:pPr>
            <w:r>
              <w:rPr>
                <w:rFonts w:ascii="Times New Roman" w:cs="Times New Roman" w:eastAsia="Times New Roman" w:hAnsi="Times New Roman"/>
                <w:sz w:val="18"/>
                <w:szCs w:val="18"/>
                <w:i w:val="1"/>
                <w:iCs w:val="1"/>
                <w:color w:val="auto"/>
              </w:rPr>
              <w:t>Existence</w:t>
            </w:r>
          </w:p>
        </w:tc>
        <w:tc>
          <w:tcPr>
            <w:tcW w:w="3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29</w:t>
            </w:r>
          </w:p>
        </w:tc>
        <w:tc>
          <w:tcPr>
            <w:tcW w:w="0" w:type="dxa"/>
            <w:vAlign w:val="bottom"/>
          </w:tcPr>
          <w:p>
            <w:pPr>
              <w:spacing w:after="0"/>
              <w:rPr>
                <w:sz w:val="1"/>
                <w:szCs w:val="1"/>
                <w:color w:val="auto"/>
              </w:rPr>
            </w:pP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4.06</w:t>
            </w:r>
            <w:r>
              <w:rPr>
                <w:rFonts w:ascii="Times New Roman" w:cs="Times New Roman" w:eastAsia="Times New Roman" w:hAnsi="Times New Roman"/>
                <w:sz w:val="18"/>
                <w:szCs w:val="18"/>
                <w:i w:val="1"/>
                <w:iCs w:val="1"/>
                <w:color w:val="auto"/>
              </w:rPr>
              <w:t>.</w:t>
            </w:r>
          </w:p>
        </w:tc>
        <w:tc>
          <w:tcPr>
            <w:tcW w:w="9480" w:type="dxa"/>
            <w:vAlign w:val="bottom"/>
            <w:gridSpan w:val="3"/>
          </w:tcPr>
          <w:p>
            <w:pPr>
              <w:ind w:left="180"/>
              <w:spacing w:after="0"/>
              <w:rPr>
                <w:sz w:val="20"/>
                <w:szCs w:val="20"/>
                <w:color w:val="auto"/>
              </w:rPr>
            </w:pPr>
            <w:r>
              <w:rPr>
                <w:rFonts w:ascii="Times New Roman" w:cs="Times New Roman" w:eastAsia="Times New Roman" w:hAnsi="Times New Roman"/>
                <w:sz w:val="18"/>
                <w:szCs w:val="18"/>
                <w:i w:val="1"/>
                <w:iCs w:val="1"/>
                <w:color w:val="auto"/>
              </w:rPr>
              <w:t>Rule 144A Information Requirement and Annual Reports</w:t>
            </w:r>
          </w:p>
        </w:tc>
        <w:tc>
          <w:tcPr>
            <w:tcW w:w="3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29</w:t>
            </w:r>
          </w:p>
        </w:tc>
        <w:tc>
          <w:tcPr>
            <w:tcW w:w="0" w:type="dxa"/>
            <w:vAlign w:val="bottom"/>
          </w:tcPr>
          <w:p>
            <w:pPr>
              <w:spacing w:after="0"/>
              <w:rPr>
                <w:sz w:val="1"/>
                <w:szCs w:val="1"/>
                <w:color w:val="auto"/>
              </w:rPr>
            </w:pP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4.07</w:t>
            </w:r>
            <w:r>
              <w:rPr>
                <w:rFonts w:ascii="Times New Roman" w:cs="Times New Roman" w:eastAsia="Times New Roman" w:hAnsi="Times New Roman"/>
                <w:sz w:val="18"/>
                <w:szCs w:val="18"/>
                <w:i w:val="1"/>
                <w:iCs w:val="1"/>
                <w:color w:val="auto"/>
              </w:rPr>
              <w:t>.</w:t>
            </w:r>
          </w:p>
        </w:tc>
        <w:tc>
          <w:tcPr>
            <w:tcW w:w="9480" w:type="dxa"/>
            <w:vAlign w:val="bottom"/>
            <w:gridSpan w:val="3"/>
          </w:tcPr>
          <w:p>
            <w:pPr>
              <w:ind w:left="180"/>
              <w:spacing w:after="0"/>
              <w:rPr>
                <w:sz w:val="20"/>
                <w:szCs w:val="20"/>
                <w:color w:val="auto"/>
              </w:rPr>
            </w:pPr>
            <w:r>
              <w:rPr>
                <w:rFonts w:ascii="Times New Roman" w:cs="Times New Roman" w:eastAsia="Times New Roman" w:hAnsi="Times New Roman"/>
                <w:sz w:val="18"/>
                <w:szCs w:val="18"/>
                <w:i w:val="1"/>
                <w:iCs w:val="1"/>
                <w:color w:val="auto"/>
              </w:rPr>
              <w:t>Stay, Extension and Usury Laws</w:t>
            </w:r>
          </w:p>
        </w:tc>
        <w:tc>
          <w:tcPr>
            <w:tcW w:w="3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31</w:t>
            </w:r>
          </w:p>
        </w:tc>
        <w:tc>
          <w:tcPr>
            <w:tcW w:w="0" w:type="dxa"/>
            <w:vAlign w:val="bottom"/>
          </w:tcPr>
          <w:p>
            <w:pPr>
              <w:spacing w:after="0"/>
              <w:rPr>
                <w:sz w:val="1"/>
                <w:szCs w:val="1"/>
                <w:color w:val="auto"/>
              </w:rPr>
            </w:pP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4.08</w:t>
            </w:r>
            <w:r>
              <w:rPr>
                <w:rFonts w:ascii="Times New Roman" w:cs="Times New Roman" w:eastAsia="Times New Roman" w:hAnsi="Times New Roman"/>
                <w:sz w:val="18"/>
                <w:szCs w:val="18"/>
                <w:i w:val="1"/>
                <w:iCs w:val="1"/>
                <w:color w:val="auto"/>
              </w:rPr>
              <w:t>.</w:t>
            </w:r>
          </w:p>
        </w:tc>
        <w:tc>
          <w:tcPr>
            <w:tcW w:w="9480" w:type="dxa"/>
            <w:vAlign w:val="bottom"/>
            <w:gridSpan w:val="3"/>
          </w:tcPr>
          <w:p>
            <w:pPr>
              <w:ind w:left="180"/>
              <w:spacing w:after="0"/>
              <w:rPr>
                <w:sz w:val="20"/>
                <w:szCs w:val="20"/>
                <w:color w:val="auto"/>
              </w:rPr>
            </w:pPr>
            <w:r>
              <w:rPr>
                <w:rFonts w:ascii="Times New Roman" w:cs="Times New Roman" w:eastAsia="Times New Roman" w:hAnsi="Times New Roman"/>
                <w:sz w:val="18"/>
                <w:szCs w:val="18"/>
                <w:i w:val="1"/>
                <w:iCs w:val="1"/>
                <w:color w:val="auto"/>
              </w:rPr>
              <w:t>Compliance Certificate; Statements as to Defaults</w:t>
            </w:r>
          </w:p>
        </w:tc>
        <w:tc>
          <w:tcPr>
            <w:tcW w:w="3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31</w:t>
            </w:r>
          </w:p>
        </w:tc>
        <w:tc>
          <w:tcPr>
            <w:tcW w:w="0" w:type="dxa"/>
            <w:vAlign w:val="bottom"/>
          </w:tcPr>
          <w:p>
            <w:pPr>
              <w:spacing w:after="0"/>
              <w:rPr>
                <w:sz w:val="1"/>
                <w:szCs w:val="1"/>
                <w:color w:val="auto"/>
              </w:rPr>
            </w:pPr>
          </w:p>
        </w:tc>
      </w:tr>
      <w:tr>
        <w:trPr>
          <w:trHeight w:val="23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4.09</w:t>
            </w:r>
            <w:r>
              <w:rPr>
                <w:rFonts w:ascii="Times New Roman" w:cs="Times New Roman" w:eastAsia="Times New Roman" w:hAnsi="Times New Roman"/>
                <w:sz w:val="18"/>
                <w:szCs w:val="18"/>
                <w:i w:val="1"/>
                <w:iCs w:val="1"/>
                <w:color w:val="auto"/>
              </w:rPr>
              <w:t>.</w:t>
            </w:r>
          </w:p>
        </w:tc>
        <w:tc>
          <w:tcPr>
            <w:tcW w:w="9480" w:type="dxa"/>
            <w:vAlign w:val="bottom"/>
            <w:gridSpan w:val="3"/>
          </w:tcPr>
          <w:p>
            <w:pPr>
              <w:ind w:left="180"/>
              <w:spacing w:after="0"/>
              <w:rPr>
                <w:sz w:val="20"/>
                <w:szCs w:val="20"/>
                <w:color w:val="auto"/>
              </w:rPr>
            </w:pPr>
            <w:r>
              <w:rPr>
                <w:rFonts w:ascii="Times New Roman" w:cs="Times New Roman" w:eastAsia="Times New Roman" w:hAnsi="Times New Roman"/>
                <w:sz w:val="18"/>
                <w:szCs w:val="18"/>
                <w:i w:val="1"/>
                <w:iCs w:val="1"/>
                <w:color w:val="auto"/>
              </w:rPr>
              <w:t>Further Instruments and Acts</w:t>
            </w:r>
          </w:p>
        </w:tc>
        <w:tc>
          <w:tcPr>
            <w:tcW w:w="3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31</w:t>
            </w:r>
          </w:p>
        </w:tc>
        <w:tc>
          <w:tcPr>
            <w:tcW w:w="0" w:type="dxa"/>
            <w:vAlign w:val="bottom"/>
          </w:tcPr>
          <w:p>
            <w:pPr>
              <w:spacing w:after="0"/>
              <w:rPr>
                <w:sz w:val="1"/>
                <w:szCs w:val="1"/>
                <w:color w:val="auto"/>
              </w:rPr>
            </w:pPr>
          </w:p>
        </w:tc>
      </w:tr>
    </w:tbl>
    <w:p>
      <w:pPr>
        <w:spacing w:after="0" w:line="130" w:lineRule="exact"/>
        <w:rPr>
          <w:sz w:val="20"/>
          <w:szCs w:val="20"/>
          <w:color w:val="auto"/>
        </w:rPr>
      </w:pPr>
      <w:r>
        <w:rPr>
          <w:sz w:val="20"/>
          <w:szCs w:val="20"/>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extLst>
                    </a:blip>
                    <a:srcRect/>
                    <a:stretch>
                      <a:fillRect/>
                    </a:stretch>
                  </pic:blipFill>
                  <pic:spPr bwMode="auto">
                    <a:xfrm>
                      <a:off x="0" y="0"/>
                      <a:ext cx="7174865" cy="38100"/>
                    </a:xfrm>
                    <a:prstGeom prst="rect">
                      <a:avLst/>
                    </a:prstGeom>
                    <a:noFill/>
                  </pic:spPr>
                </pic:pic>
              </a:graphicData>
            </a:graphic>
          </wp:anchor>
        </w:drawing>
      </w:r>
    </w:p>
    <w:p>
      <w:pPr>
        <w:jc w:val="center"/>
        <w:ind w:right="-39"/>
        <w:spacing w:after="0"/>
        <w:rPr>
          <w:sz w:val="20"/>
          <w:szCs w:val="20"/>
          <w:color w:val="auto"/>
        </w:rPr>
      </w:pPr>
      <w:r>
        <w:rPr>
          <w:rFonts w:ascii="Times New Roman" w:cs="Times New Roman" w:eastAsia="Times New Roman" w:hAnsi="Times New Roman"/>
          <w:sz w:val="18"/>
          <w:szCs w:val="18"/>
          <w:color w:val="auto"/>
        </w:rPr>
        <w:t>i</w:t>
      </w:r>
    </w:p>
    <w:p>
      <w:pPr>
        <w:sectPr>
          <w:pgSz w:w="11900" w:h="16838" w:orient="portrait"/>
          <w:cols w:equalWidth="0" w:num="1">
            <w:col w:w="10960"/>
          </w:cols>
          <w:pgMar w:left="440" w:top="257" w:right="499" w:bottom="1440" w:gutter="0" w:footer="0" w:header="0"/>
        </w:sectPr>
      </w:pPr>
    </w:p>
    <w:bookmarkStart w:id="7" w:name="page8"/>
    <w:bookmarkEnd w:id="7"/>
    <w:p>
      <w:pPr>
        <w:jc w:val="center"/>
        <w:ind w:left="88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ARTICLE 5</w:t>
      </w:r>
    </w:p>
    <w:p>
      <w:pPr>
        <w:spacing w:after="0" w:line="27" w:lineRule="exact"/>
        <w:rPr>
          <w:sz w:val="20"/>
          <w:szCs w:val="20"/>
          <w:color w:val="auto"/>
        </w:rPr>
      </w:pPr>
    </w:p>
    <w:p>
      <w:pPr>
        <w:ind w:left="3300"/>
        <w:spacing w:after="0"/>
        <w:rPr>
          <w:sz w:val="20"/>
          <w:szCs w:val="20"/>
          <w:color w:val="auto"/>
        </w:rPr>
      </w:pPr>
      <w:r>
        <w:rPr>
          <w:rFonts w:ascii="Times New Roman" w:cs="Times New Roman" w:eastAsia="Times New Roman" w:hAnsi="Times New Roman"/>
          <w:sz w:val="18"/>
          <w:szCs w:val="18"/>
          <w:color w:val="auto"/>
        </w:rPr>
        <w:t>L</w:t>
      </w:r>
      <w:r>
        <w:rPr>
          <w:rFonts w:ascii="Times New Roman" w:cs="Times New Roman" w:eastAsia="Times New Roman" w:hAnsi="Times New Roman"/>
          <w:sz w:val="14"/>
          <w:szCs w:val="14"/>
          <w:color w:val="auto"/>
        </w:rPr>
        <w:t>ISTS OF</w:t>
      </w:r>
      <w:r>
        <w:rPr>
          <w:rFonts w:ascii="Times New Roman" w:cs="Times New Roman" w:eastAsia="Times New Roman" w:hAnsi="Times New Roman"/>
          <w:sz w:val="18"/>
          <w:szCs w:val="18"/>
          <w:color w:val="auto"/>
        </w:rPr>
        <w:t xml:space="preserve"> H</w:t>
      </w:r>
      <w:r>
        <w:rPr>
          <w:rFonts w:ascii="Times New Roman" w:cs="Times New Roman" w:eastAsia="Times New Roman" w:hAnsi="Times New Roman"/>
          <w:sz w:val="14"/>
          <w:szCs w:val="14"/>
          <w:color w:val="auto"/>
        </w:rPr>
        <w:t>OLDERS AND</w:t>
      </w:r>
      <w:r>
        <w:rPr>
          <w:rFonts w:ascii="Times New Roman" w:cs="Times New Roman" w:eastAsia="Times New Roman" w:hAnsi="Times New Roman"/>
          <w:sz w:val="18"/>
          <w:szCs w:val="18"/>
          <w:color w:val="auto"/>
        </w:rPr>
        <w:t xml:space="preserve"> R</w:t>
      </w:r>
      <w:r>
        <w:rPr>
          <w:rFonts w:ascii="Times New Roman" w:cs="Times New Roman" w:eastAsia="Times New Roman" w:hAnsi="Times New Roman"/>
          <w:sz w:val="14"/>
          <w:szCs w:val="14"/>
          <w:color w:val="auto"/>
        </w:rPr>
        <w:t>EPORTS BY THE</w:t>
      </w:r>
      <w:r>
        <w:rPr>
          <w:rFonts w:ascii="Times New Roman" w:cs="Times New Roman" w:eastAsia="Times New Roman" w:hAnsi="Times New Roman"/>
          <w:sz w:val="18"/>
          <w:szCs w:val="18"/>
          <w:color w:val="auto"/>
        </w:rPr>
        <w:t xml:space="preserve"> C</w:t>
      </w:r>
      <w:r>
        <w:rPr>
          <w:rFonts w:ascii="Times New Roman" w:cs="Times New Roman" w:eastAsia="Times New Roman" w:hAnsi="Times New Roman"/>
          <w:sz w:val="14"/>
          <w:szCs w:val="14"/>
          <w:color w:val="auto"/>
        </w:rPr>
        <w:t>OMPANY AND THE</w:t>
      </w:r>
      <w:r>
        <w:rPr>
          <w:rFonts w:ascii="Times New Roman" w:cs="Times New Roman" w:eastAsia="Times New Roman" w:hAnsi="Times New Roman"/>
          <w:sz w:val="18"/>
          <w:szCs w:val="18"/>
          <w:color w:val="auto"/>
        </w:rPr>
        <w:t xml:space="preserve"> T</w:t>
      </w:r>
      <w:r>
        <w:rPr>
          <w:rFonts w:ascii="Times New Roman" w:cs="Times New Roman" w:eastAsia="Times New Roman" w:hAnsi="Times New Roman"/>
          <w:sz w:val="14"/>
          <w:szCs w:val="14"/>
          <w:color w:val="auto"/>
        </w:rPr>
        <w:t>RUSTEE</w:t>
      </w:r>
    </w:p>
    <w:p>
      <w:pPr>
        <w:spacing w:after="0" w:line="97" w:lineRule="exact"/>
        <w:rPr>
          <w:sz w:val="20"/>
          <w:szCs w:val="20"/>
          <w:color w:val="auto"/>
        </w:rPr>
      </w:pPr>
    </w:p>
    <w:tbl>
      <w:tblPr>
        <w:tblLayout w:type="fixed"/>
        <w:tblInd w:w="0" w:type="dxa"/>
        <w:tblCellMar>
          <w:top w:w="0" w:type="dxa"/>
          <w:left w:w="0" w:type="dxa"/>
          <w:bottom w:w="0" w:type="dxa"/>
          <w:right w:w="0" w:type="dxa"/>
        </w:tblCellMar>
      </w:tblP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5.01.</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Lists of Holders</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32</w:t>
            </w:r>
          </w:p>
        </w:tc>
      </w:tr>
      <w:tr>
        <w:trPr>
          <w:trHeight w:val="23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5.02.</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Preservation and Disclosure of Lists</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32</w:t>
            </w:r>
          </w:p>
        </w:tc>
      </w:tr>
      <w:tr>
        <w:trPr>
          <w:trHeight w:val="306"/>
        </w:trPr>
        <w:tc>
          <w:tcPr>
            <w:tcW w:w="1120" w:type="dxa"/>
            <w:vAlign w:val="bottom"/>
          </w:tcPr>
          <w:p>
            <w:pPr>
              <w:spacing w:after="0"/>
              <w:rPr>
                <w:sz w:val="24"/>
                <w:szCs w:val="24"/>
                <w:color w:val="auto"/>
              </w:rPr>
            </w:pPr>
          </w:p>
        </w:tc>
        <w:tc>
          <w:tcPr>
            <w:tcW w:w="8580" w:type="dxa"/>
            <w:vAlign w:val="bottom"/>
          </w:tcPr>
          <w:p>
            <w:pPr>
              <w:jc w:val="center"/>
              <w:ind w:left="990"/>
              <w:spacing w:after="0"/>
              <w:rPr>
                <w:sz w:val="20"/>
                <w:szCs w:val="20"/>
                <w:color w:val="auto"/>
              </w:rPr>
            </w:pPr>
            <w:r>
              <w:rPr>
                <w:rFonts w:ascii="Times New Roman" w:cs="Times New Roman" w:eastAsia="Times New Roman" w:hAnsi="Times New Roman"/>
                <w:sz w:val="18"/>
                <w:szCs w:val="18"/>
                <w:color w:val="auto"/>
              </w:rPr>
              <w:t>ARTICLE 6</w:t>
            </w:r>
          </w:p>
        </w:tc>
        <w:tc>
          <w:tcPr>
            <w:tcW w:w="1260" w:type="dxa"/>
            <w:vAlign w:val="bottom"/>
          </w:tcPr>
          <w:p>
            <w:pPr>
              <w:spacing w:after="0"/>
              <w:rPr>
                <w:sz w:val="24"/>
                <w:szCs w:val="24"/>
                <w:color w:val="auto"/>
              </w:rPr>
            </w:pPr>
          </w:p>
        </w:tc>
      </w:tr>
      <w:tr>
        <w:trPr>
          <w:trHeight w:val="234"/>
        </w:trPr>
        <w:tc>
          <w:tcPr>
            <w:tcW w:w="1120" w:type="dxa"/>
            <w:vAlign w:val="bottom"/>
          </w:tcPr>
          <w:p>
            <w:pPr>
              <w:spacing w:after="0"/>
              <w:rPr>
                <w:sz w:val="20"/>
                <w:szCs w:val="20"/>
                <w:color w:val="auto"/>
              </w:rPr>
            </w:pPr>
          </w:p>
        </w:tc>
        <w:tc>
          <w:tcPr>
            <w:tcW w:w="8580" w:type="dxa"/>
            <w:vAlign w:val="bottom"/>
          </w:tcPr>
          <w:p>
            <w:pPr>
              <w:jc w:val="center"/>
              <w:ind w:left="990"/>
              <w:spacing w:after="0"/>
              <w:rPr>
                <w:sz w:val="20"/>
                <w:szCs w:val="20"/>
                <w:color w:val="auto"/>
              </w:rPr>
            </w:pPr>
            <w:r>
              <w:rPr>
                <w:rFonts w:ascii="Times New Roman" w:cs="Times New Roman" w:eastAsia="Times New Roman" w:hAnsi="Times New Roman"/>
                <w:sz w:val="18"/>
                <w:szCs w:val="18"/>
                <w:color w:val="auto"/>
              </w:rPr>
              <w:t>D</w:t>
            </w:r>
            <w:r>
              <w:rPr>
                <w:rFonts w:ascii="Times New Roman" w:cs="Times New Roman" w:eastAsia="Times New Roman" w:hAnsi="Times New Roman"/>
                <w:sz w:val="14"/>
                <w:szCs w:val="14"/>
                <w:color w:val="auto"/>
              </w:rPr>
              <w:t>EFAULTS AND</w:t>
            </w:r>
            <w:r>
              <w:rPr>
                <w:rFonts w:ascii="Times New Roman" w:cs="Times New Roman" w:eastAsia="Times New Roman" w:hAnsi="Times New Roman"/>
                <w:sz w:val="18"/>
                <w:szCs w:val="18"/>
                <w:color w:val="auto"/>
              </w:rPr>
              <w:t xml:space="preserve"> R</w:t>
            </w:r>
            <w:r>
              <w:rPr>
                <w:rFonts w:ascii="Times New Roman" w:cs="Times New Roman" w:eastAsia="Times New Roman" w:hAnsi="Times New Roman"/>
                <w:sz w:val="14"/>
                <w:szCs w:val="14"/>
                <w:color w:val="auto"/>
              </w:rPr>
              <w:t>EMEDIES</w:t>
            </w:r>
          </w:p>
        </w:tc>
        <w:tc>
          <w:tcPr>
            <w:tcW w:w="1260" w:type="dxa"/>
            <w:vAlign w:val="bottom"/>
          </w:tcPr>
          <w:p>
            <w:pPr>
              <w:spacing w:after="0"/>
              <w:rPr>
                <w:sz w:val="20"/>
                <w:szCs w:val="20"/>
                <w:color w:val="auto"/>
              </w:rPr>
            </w:pPr>
          </w:p>
        </w:tc>
      </w:tr>
      <w:tr>
        <w:trPr>
          <w:trHeight w:val="304"/>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6.01.</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Events of Default</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32</w:t>
            </w: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6.02.</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Acceleration; Rescission and Annulment</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w:t>
            </w: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6.03.</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Additional Interest</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w:t>
            </w: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6.04.</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Payments of Notes on Default; Suit Therefor</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35</w:t>
            </w: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6.05.</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Application of Monies Collected by Trustee</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37</w:t>
            </w: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6.06.</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Proceedings by Holders</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37</w:t>
            </w: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6.07.</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Proceedings by Trustee</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w:t>
            </w: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6.08.</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Remedies Cumulative and Continuing</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w:t>
            </w: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6.09.</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Direction of Proceedings and Waiver of Defaults by Majority of Holders</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w:t>
            </w: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6.10.</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Notice of Defaults</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w:t>
            </w:r>
          </w:p>
        </w:tc>
      </w:tr>
      <w:tr>
        <w:trPr>
          <w:trHeight w:val="23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6.11.</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Undertaking to Pay Costs</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40</w:t>
            </w:r>
          </w:p>
        </w:tc>
      </w:tr>
      <w:tr>
        <w:trPr>
          <w:trHeight w:val="306"/>
        </w:trPr>
        <w:tc>
          <w:tcPr>
            <w:tcW w:w="1120" w:type="dxa"/>
            <w:vAlign w:val="bottom"/>
          </w:tcPr>
          <w:p>
            <w:pPr>
              <w:spacing w:after="0"/>
              <w:rPr>
                <w:sz w:val="24"/>
                <w:szCs w:val="24"/>
                <w:color w:val="auto"/>
              </w:rPr>
            </w:pPr>
          </w:p>
        </w:tc>
        <w:tc>
          <w:tcPr>
            <w:tcW w:w="8580" w:type="dxa"/>
            <w:vAlign w:val="bottom"/>
          </w:tcPr>
          <w:p>
            <w:pPr>
              <w:jc w:val="center"/>
              <w:ind w:left="990"/>
              <w:spacing w:after="0"/>
              <w:rPr>
                <w:sz w:val="20"/>
                <w:szCs w:val="20"/>
                <w:color w:val="auto"/>
              </w:rPr>
            </w:pPr>
            <w:r>
              <w:rPr>
                <w:rFonts w:ascii="Times New Roman" w:cs="Times New Roman" w:eastAsia="Times New Roman" w:hAnsi="Times New Roman"/>
                <w:sz w:val="18"/>
                <w:szCs w:val="18"/>
                <w:color w:val="auto"/>
              </w:rPr>
              <w:t>ARTICLE 7</w:t>
            </w:r>
          </w:p>
        </w:tc>
        <w:tc>
          <w:tcPr>
            <w:tcW w:w="1260" w:type="dxa"/>
            <w:vAlign w:val="bottom"/>
          </w:tcPr>
          <w:p>
            <w:pPr>
              <w:spacing w:after="0"/>
              <w:rPr>
                <w:sz w:val="24"/>
                <w:szCs w:val="24"/>
                <w:color w:val="auto"/>
              </w:rPr>
            </w:pPr>
          </w:p>
        </w:tc>
      </w:tr>
      <w:tr>
        <w:trPr>
          <w:trHeight w:val="234"/>
        </w:trPr>
        <w:tc>
          <w:tcPr>
            <w:tcW w:w="1120" w:type="dxa"/>
            <w:vAlign w:val="bottom"/>
          </w:tcPr>
          <w:p>
            <w:pPr>
              <w:spacing w:after="0"/>
              <w:rPr>
                <w:sz w:val="20"/>
                <w:szCs w:val="20"/>
                <w:color w:val="auto"/>
              </w:rPr>
            </w:pPr>
          </w:p>
        </w:tc>
        <w:tc>
          <w:tcPr>
            <w:tcW w:w="8580" w:type="dxa"/>
            <w:vAlign w:val="bottom"/>
          </w:tcPr>
          <w:p>
            <w:pPr>
              <w:jc w:val="center"/>
              <w:ind w:left="990"/>
              <w:spacing w:after="0"/>
              <w:rPr>
                <w:sz w:val="20"/>
                <w:szCs w:val="20"/>
                <w:color w:val="auto"/>
              </w:rPr>
            </w:pPr>
            <w:r>
              <w:rPr>
                <w:rFonts w:ascii="Times New Roman" w:cs="Times New Roman" w:eastAsia="Times New Roman" w:hAnsi="Times New Roman"/>
                <w:sz w:val="18"/>
                <w:szCs w:val="18"/>
                <w:color w:val="auto"/>
              </w:rPr>
              <w:t>C</w:t>
            </w:r>
            <w:r>
              <w:rPr>
                <w:rFonts w:ascii="Times New Roman" w:cs="Times New Roman" w:eastAsia="Times New Roman" w:hAnsi="Times New Roman"/>
                <w:sz w:val="14"/>
                <w:szCs w:val="14"/>
                <w:color w:val="auto"/>
              </w:rPr>
              <w:t>ONCERNING THE</w:t>
            </w:r>
            <w:r>
              <w:rPr>
                <w:rFonts w:ascii="Times New Roman" w:cs="Times New Roman" w:eastAsia="Times New Roman" w:hAnsi="Times New Roman"/>
                <w:sz w:val="18"/>
                <w:szCs w:val="18"/>
                <w:color w:val="auto"/>
              </w:rPr>
              <w:t xml:space="preserve"> T</w:t>
            </w:r>
            <w:r>
              <w:rPr>
                <w:rFonts w:ascii="Times New Roman" w:cs="Times New Roman" w:eastAsia="Times New Roman" w:hAnsi="Times New Roman"/>
                <w:sz w:val="14"/>
                <w:szCs w:val="14"/>
                <w:color w:val="auto"/>
              </w:rPr>
              <w:t>RUSTEE</w:t>
            </w:r>
          </w:p>
        </w:tc>
        <w:tc>
          <w:tcPr>
            <w:tcW w:w="1260" w:type="dxa"/>
            <w:vAlign w:val="bottom"/>
          </w:tcPr>
          <w:p>
            <w:pPr>
              <w:spacing w:after="0"/>
              <w:rPr>
                <w:sz w:val="20"/>
                <w:szCs w:val="20"/>
                <w:color w:val="auto"/>
              </w:rPr>
            </w:pPr>
          </w:p>
        </w:tc>
      </w:tr>
      <w:tr>
        <w:trPr>
          <w:trHeight w:val="304"/>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7.01.</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Duties and Responsibilities of Trustee</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40</w:t>
            </w: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7.02.</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Reliance on Documents, Opinions, Etc.</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42</w:t>
            </w: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7.03.</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No Responsibility for Recitals, Etc.</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44</w:t>
            </w: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7.04.</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Trustee, Paying Agents, Conversion Agents, Bid Solicitation Agent or Note Registrar May Own Notes</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44</w:t>
            </w: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7.05.</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Monies and Shares of Common Stock to Be Held in Trust</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44</w:t>
            </w: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7.06.</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Compensation and Expenses of Trustee</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44</w:t>
            </w: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7.07.</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Officer’s Certificate as Evidence</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45</w:t>
            </w: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7.08.</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Eligibility of Trustee</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45</w:t>
            </w: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7.09.</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Resignation or Removal of Trustee</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46</w:t>
            </w: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7.10.</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Acceptance by Successor Trustee</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47</w:t>
            </w: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7.11.</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Succession by Merger, Etc.</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47</w:t>
            </w:r>
          </w:p>
        </w:tc>
      </w:tr>
      <w:tr>
        <w:trPr>
          <w:trHeight w:val="23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7.12.</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Trustee’s Application for Instructions from the Company</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48</w:t>
            </w:r>
          </w:p>
        </w:tc>
      </w:tr>
      <w:tr>
        <w:trPr>
          <w:trHeight w:val="306"/>
        </w:trPr>
        <w:tc>
          <w:tcPr>
            <w:tcW w:w="1120" w:type="dxa"/>
            <w:vAlign w:val="bottom"/>
          </w:tcPr>
          <w:p>
            <w:pPr>
              <w:spacing w:after="0"/>
              <w:rPr>
                <w:sz w:val="24"/>
                <w:szCs w:val="24"/>
                <w:color w:val="auto"/>
              </w:rPr>
            </w:pPr>
          </w:p>
        </w:tc>
        <w:tc>
          <w:tcPr>
            <w:tcW w:w="8580" w:type="dxa"/>
            <w:vAlign w:val="bottom"/>
          </w:tcPr>
          <w:p>
            <w:pPr>
              <w:jc w:val="center"/>
              <w:ind w:left="990"/>
              <w:spacing w:after="0"/>
              <w:rPr>
                <w:sz w:val="20"/>
                <w:szCs w:val="20"/>
                <w:color w:val="auto"/>
              </w:rPr>
            </w:pPr>
            <w:r>
              <w:rPr>
                <w:rFonts w:ascii="Times New Roman" w:cs="Times New Roman" w:eastAsia="Times New Roman" w:hAnsi="Times New Roman"/>
                <w:sz w:val="18"/>
                <w:szCs w:val="18"/>
                <w:color w:val="auto"/>
              </w:rPr>
              <w:t>ARTICLE 8</w:t>
            </w:r>
          </w:p>
        </w:tc>
        <w:tc>
          <w:tcPr>
            <w:tcW w:w="1260" w:type="dxa"/>
            <w:vAlign w:val="bottom"/>
          </w:tcPr>
          <w:p>
            <w:pPr>
              <w:spacing w:after="0"/>
              <w:rPr>
                <w:sz w:val="24"/>
                <w:szCs w:val="24"/>
                <w:color w:val="auto"/>
              </w:rPr>
            </w:pPr>
          </w:p>
        </w:tc>
      </w:tr>
      <w:tr>
        <w:trPr>
          <w:trHeight w:val="234"/>
        </w:trPr>
        <w:tc>
          <w:tcPr>
            <w:tcW w:w="1120" w:type="dxa"/>
            <w:vAlign w:val="bottom"/>
          </w:tcPr>
          <w:p>
            <w:pPr>
              <w:spacing w:after="0"/>
              <w:rPr>
                <w:sz w:val="20"/>
                <w:szCs w:val="20"/>
                <w:color w:val="auto"/>
              </w:rPr>
            </w:pPr>
          </w:p>
        </w:tc>
        <w:tc>
          <w:tcPr>
            <w:tcW w:w="8580" w:type="dxa"/>
            <w:vAlign w:val="bottom"/>
          </w:tcPr>
          <w:p>
            <w:pPr>
              <w:jc w:val="center"/>
              <w:ind w:left="990"/>
              <w:spacing w:after="0"/>
              <w:rPr>
                <w:sz w:val="20"/>
                <w:szCs w:val="20"/>
                <w:color w:val="auto"/>
              </w:rPr>
            </w:pPr>
            <w:r>
              <w:rPr>
                <w:rFonts w:ascii="Times New Roman" w:cs="Times New Roman" w:eastAsia="Times New Roman" w:hAnsi="Times New Roman"/>
                <w:sz w:val="18"/>
                <w:szCs w:val="18"/>
                <w:color w:val="auto"/>
              </w:rPr>
              <w:t>C</w:t>
            </w:r>
            <w:r>
              <w:rPr>
                <w:rFonts w:ascii="Times New Roman" w:cs="Times New Roman" w:eastAsia="Times New Roman" w:hAnsi="Times New Roman"/>
                <w:sz w:val="14"/>
                <w:szCs w:val="14"/>
                <w:color w:val="auto"/>
              </w:rPr>
              <w:t>ONCERNING THE</w:t>
            </w:r>
            <w:r>
              <w:rPr>
                <w:rFonts w:ascii="Times New Roman" w:cs="Times New Roman" w:eastAsia="Times New Roman" w:hAnsi="Times New Roman"/>
                <w:sz w:val="18"/>
                <w:szCs w:val="18"/>
                <w:color w:val="auto"/>
              </w:rPr>
              <w:t xml:space="preserve"> H</w:t>
            </w:r>
            <w:r>
              <w:rPr>
                <w:rFonts w:ascii="Times New Roman" w:cs="Times New Roman" w:eastAsia="Times New Roman" w:hAnsi="Times New Roman"/>
                <w:sz w:val="14"/>
                <w:szCs w:val="14"/>
                <w:color w:val="auto"/>
              </w:rPr>
              <w:t>OLDERS</w:t>
            </w:r>
          </w:p>
        </w:tc>
        <w:tc>
          <w:tcPr>
            <w:tcW w:w="1260" w:type="dxa"/>
            <w:vAlign w:val="bottom"/>
          </w:tcPr>
          <w:p>
            <w:pPr>
              <w:spacing w:after="0"/>
              <w:rPr>
                <w:sz w:val="20"/>
                <w:szCs w:val="20"/>
                <w:color w:val="auto"/>
              </w:rPr>
            </w:pPr>
          </w:p>
        </w:tc>
      </w:tr>
      <w:tr>
        <w:trPr>
          <w:trHeight w:val="304"/>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8.01.</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Action by Holders</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48</w:t>
            </w: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8.02.</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Proof of Execution by Holders</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48</w:t>
            </w: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8.03.</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Who Are Deemed Absolute Owners</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49</w:t>
            </w:r>
          </w:p>
        </w:tc>
      </w:tr>
      <w:tr>
        <w:trPr>
          <w:trHeight w:val="21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8.04.</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Company-Owned Notes Disregarded</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49</w:t>
            </w:r>
          </w:p>
        </w:tc>
      </w:tr>
      <w:tr>
        <w:trPr>
          <w:trHeight w:val="236"/>
        </w:trPr>
        <w:tc>
          <w:tcPr>
            <w:tcW w:w="1120" w:type="dxa"/>
            <w:vAlign w:val="bottom"/>
          </w:tcPr>
          <w:p>
            <w:pPr>
              <w:spacing w:after="0"/>
              <w:rPr>
                <w:sz w:val="20"/>
                <w:szCs w:val="20"/>
                <w:color w:val="auto"/>
              </w:rPr>
            </w:pPr>
            <w:r>
              <w:rPr>
                <w:rFonts w:ascii="Times New Roman" w:cs="Times New Roman" w:eastAsia="Times New Roman" w:hAnsi="Times New Roman"/>
                <w:sz w:val="18"/>
                <w:szCs w:val="18"/>
                <w:color w:val="auto"/>
              </w:rPr>
              <w:t>Section 8.05.</w:t>
            </w:r>
          </w:p>
        </w:tc>
        <w:tc>
          <w:tcPr>
            <w:tcW w:w="8580" w:type="dxa"/>
            <w:vAlign w:val="bottom"/>
          </w:tcPr>
          <w:p>
            <w:pPr>
              <w:ind w:left="180"/>
              <w:spacing w:after="0"/>
              <w:rPr>
                <w:sz w:val="20"/>
                <w:szCs w:val="20"/>
                <w:color w:val="auto"/>
              </w:rPr>
            </w:pPr>
            <w:r>
              <w:rPr>
                <w:rFonts w:ascii="Times New Roman" w:cs="Times New Roman" w:eastAsia="Times New Roman" w:hAnsi="Times New Roman"/>
                <w:sz w:val="18"/>
                <w:szCs w:val="18"/>
                <w:i w:val="1"/>
                <w:iCs w:val="1"/>
                <w:color w:val="auto"/>
              </w:rPr>
              <w:t>Revocation of Consents; Future Holders Bound</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49</w:t>
            </w:r>
          </w:p>
        </w:tc>
      </w:tr>
    </w:tbl>
    <w:p>
      <w:pPr>
        <w:spacing w:after="0" w:line="130"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ii</w:t>
      </w:r>
    </w:p>
    <w:p>
      <w:pPr>
        <w:sectPr>
          <w:pgSz w:w="11900" w:h="16838" w:orient="portrait"/>
          <w:cols w:equalWidth="0" w:num="1">
            <w:col w:w="10960"/>
          </w:cols>
          <w:pgMar w:left="440" w:top="270" w:right="499" w:bottom="1440" w:gutter="0" w:footer="0" w:header="0"/>
        </w:sectPr>
      </w:pPr>
    </w:p>
    <w:bookmarkStart w:id="8" w:name="page9"/>
    <w:bookmarkEnd w:id="8"/>
    <w:tbl>
      <w:tblPr>
        <w:tblLayout w:type="fixed"/>
        <w:tblInd w:w="0" w:type="dxa"/>
        <w:tblCellMar>
          <w:top w:w="0" w:type="dxa"/>
          <w:left w:w="0" w:type="dxa"/>
          <w:bottom w:w="0" w:type="dxa"/>
          <w:right w:w="0" w:type="dxa"/>
        </w:tblCellMar>
      </w:tblPr>
      <w:tr>
        <w:trPr>
          <w:trHeight w:val="216"/>
        </w:trPr>
        <w:tc>
          <w:tcPr>
            <w:tcW w:w="1160" w:type="dxa"/>
            <w:vAlign w:val="bottom"/>
          </w:tcPr>
          <w:p>
            <w:pPr>
              <w:spacing w:after="0"/>
              <w:rPr>
                <w:sz w:val="18"/>
                <w:szCs w:val="18"/>
                <w:color w:val="auto"/>
              </w:rPr>
            </w:pPr>
          </w:p>
        </w:tc>
        <w:tc>
          <w:tcPr>
            <w:tcW w:w="9480" w:type="dxa"/>
            <w:vAlign w:val="bottom"/>
          </w:tcPr>
          <w:p>
            <w:pPr>
              <w:jc w:val="center"/>
              <w:ind w:left="10"/>
              <w:spacing w:after="0"/>
              <w:rPr>
                <w:sz w:val="20"/>
                <w:szCs w:val="20"/>
                <w:color w:val="auto"/>
              </w:rPr>
            </w:pPr>
            <w:r>
              <w:rPr>
                <w:rFonts w:ascii="Times New Roman" w:cs="Times New Roman" w:eastAsia="Times New Roman" w:hAnsi="Times New Roman"/>
                <w:sz w:val="18"/>
                <w:szCs w:val="18"/>
                <w:color w:val="auto"/>
              </w:rPr>
              <w:t>ARTICLE 9</w:t>
            </w:r>
          </w:p>
        </w:tc>
        <w:tc>
          <w:tcPr>
            <w:tcW w:w="320" w:type="dxa"/>
            <w:vAlign w:val="bottom"/>
          </w:tcPr>
          <w:p>
            <w:pPr>
              <w:spacing w:after="0"/>
              <w:rPr>
                <w:sz w:val="18"/>
                <w:szCs w:val="18"/>
                <w:color w:val="auto"/>
              </w:rPr>
            </w:pPr>
          </w:p>
        </w:tc>
      </w:tr>
      <w:tr>
        <w:trPr>
          <w:trHeight w:val="234"/>
        </w:trPr>
        <w:tc>
          <w:tcPr>
            <w:tcW w:w="1160" w:type="dxa"/>
            <w:vAlign w:val="bottom"/>
          </w:tcPr>
          <w:p>
            <w:pPr>
              <w:spacing w:after="0"/>
              <w:rPr>
                <w:sz w:val="20"/>
                <w:szCs w:val="20"/>
                <w:color w:val="auto"/>
              </w:rPr>
            </w:pPr>
          </w:p>
        </w:tc>
        <w:tc>
          <w:tcPr>
            <w:tcW w:w="9480" w:type="dxa"/>
            <w:vAlign w:val="bottom"/>
          </w:tcPr>
          <w:p>
            <w:pPr>
              <w:jc w:val="center"/>
              <w:ind w:left="10"/>
              <w:spacing w:after="0"/>
              <w:rPr>
                <w:sz w:val="20"/>
                <w:szCs w:val="20"/>
                <w:color w:val="auto"/>
              </w:rPr>
            </w:pPr>
            <w:r>
              <w:rPr>
                <w:rFonts w:ascii="Times New Roman" w:cs="Times New Roman" w:eastAsia="Times New Roman" w:hAnsi="Times New Roman"/>
                <w:sz w:val="18"/>
                <w:szCs w:val="18"/>
                <w:color w:val="auto"/>
              </w:rPr>
              <w:t>H</w:t>
            </w:r>
            <w:r>
              <w:rPr>
                <w:rFonts w:ascii="Times New Roman" w:cs="Times New Roman" w:eastAsia="Times New Roman" w:hAnsi="Times New Roman"/>
                <w:sz w:val="14"/>
                <w:szCs w:val="14"/>
                <w:color w:val="auto"/>
              </w:rPr>
              <w:t>OLDERS</w:t>
            </w:r>
            <w:r>
              <w:rPr>
                <w:rFonts w:ascii="Times New Roman" w:cs="Times New Roman" w:eastAsia="Times New Roman" w:hAnsi="Times New Roman"/>
                <w:sz w:val="18"/>
                <w:szCs w:val="18"/>
                <w:color w:val="auto"/>
              </w:rPr>
              <w:t>’ M</w:t>
            </w:r>
            <w:r>
              <w:rPr>
                <w:rFonts w:ascii="Times New Roman" w:cs="Times New Roman" w:eastAsia="Times New Roman" w:hAnsi="Times New Roman"/>
                <w:sz w:val="14"/>
                <w:szCs w:val="14"/>
                <w:color w:val="auto"/>
              </w:rPr>
              <w:t>EETINGS</w:t>
            </w:r>
          </w:p>
        </w:tc>
        <w:tc>
          <w:tcPr>
            <w:tcW w:w="320" w:type="dxa"/>
            <w:vAlign w:val="bottom"/>
          </w:tcPr>
          <w:p>
            <w:pPr>
              <w:spacing w:after="0"/>
              <w:rPr>
                <w:sz w:val="20"/>
                <w:szCs w:val="20"/>
                <w:color w:val="auto"/>
              </w:rPr>
            </w:pPr>
          </w:p>
        </w:tc>
      </w:tr>
      <w:tr>
        <w:trPr>
          <w:trHeight w:val="304"/>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9.01.</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Purpose of Meetings</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50</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9.02.</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Call of Meetings by Trustee</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50</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9.03.</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Call of Meetings by Company or Holders</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50</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9.04.</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Qualifications for Voting</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51</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9.05.</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Regulations</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51</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9.06.</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Voting</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51</w:t>
            </w:r>
          </w:p>
        </w:tc>
      </w:tr>
      <w:tr>
        <w:trPr>
          <w:trHeight w:val="23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9.07.</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No Delay of Rights by Meeting</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52</w:t>
            </w:r>
          </w:p>
        </w:tc>
      </w:tr>
      <w:tr>
        <w:trPr>
          <w:trHeight w:val="306"/>
        </w:trPr>
        <w:tc>
          <w:tcPr>
            <w:tcW w:w="1160" w:type="dxa"/>
            <w:vAlign w:val="bottom"/>
          </w:tcPr>
          <w:p>
            <w:pPr>
              <w:spacing w:after="0"/>
              <w:rPr>
                <w:sz w:val="24"/>
                <w:szCs w:val="24"/>
                <w:color w:val="auto"/>
              </w:rPr>
            </w:pPr>
          </w:p>
        </w:tc>
        <w:tc>
          <w:tcPr>
            <w:tcW w:w="9480" w:type="dxa"/>
            <w:vAlign w:val="bottom"/>
          </w:tcPr>
          <w:p>
            <w:pPr>
              <w:jc w:val="center"/>
              <w:ind w:left="10"/>
              <w:spacing w:after="0"/>
              <w:rPr>
                <w:sz w:val="20"/>
                <w:szCs w:val="20"/>
                <w:color w:val="auto"/>
              </w:rPr>
            </w:pPr>
            <w:r>
              <w:rPr>
                <w:rFonts w:ascii="Times New Roman" w:cs="Times New Roman" w:eastAsia="Times New Roman" w:hAnsi="Times New Roman"/>
                <w:sz w:val="18"/>
                <w:szCs w:val="18"/>
                <w:color w:val="auto"/>
                <w:w w:val="99"/>
              </w:rPr>
              <w:t>ARTICLE 10</w:t>
            </w:r>
          </w:p>
        </w:tc>
        <w:tc>
          <w:tcPr>
            <w:tcW w:w="320" w:type="dxa"/>
            <w:vAlign w:val="bottom"/>
          </w:tcPr>
          <w:p>
            <w:pPr>
              <w:spacing w:after="0"/>
              <w:rPr>
                <w:sz w:val="24"/>
                <w:szCs w:val="24"/>
                <w:color w:val="auto"/>
              </w:rPr>
            </w:pPr>
          </w:p>
        </w:tc>
      </w:tr>
      <w:tr>
        <w:trPr>
          <w:trHeight w:val="234"/>
        </w:trPr>
        <w:tc>
          <w:tcPr>
            <w:tcW w:w="1160" w:type="dxa"/>
            <w:vAlign w:val="bottom"/>
          </w:tcPr>
          <w:p>
            <w:pPr>
              <w:spacing w:after="0"/>
              <w:rPr>
                <w:sz w:val="20"/>
                <w:szCs w:val="20"/>
                <w:color w:val="auto"/>
              </w:rPr>
            </w:pPr>
          </w:p>
        </w:tc>
        <w:tc>
          <w:tcPr>
            <w:tcW w:w="9480" w:type="dxa"/>
            <w:vAlign w:val="bottom"/>
          </w:tcPr>
          <w:p>
            <w:pPr>
              <w:jc w:val="center"/>
              <w:ind w:left="10"/>
              <w:spacing w:after="0"/>
              <w:rPr>
                <w:sz w:val="20"/>
                <w:szCs w:val="20"/>
                <w:color w:val="auto"/>
              </w:rPr>
            </w:pPr>
            <w:r>
              <w:rPr>
                <w:rFonts w:ascii="Times New Roman" w:cs="Times New Roman" w:eastAsia="Times New Roman" w:hAnsi="Times New Roman"/>
                <w:sz w:val="18"/>
                <w:szCs w:val="18"/>
                <w:color w:val="auto"/>
              </w:rPr>
              <w:t>S</w:t>
            </w:r>
            <w:r>
              <w:rPr>
                <w:rFonts w:ascii="Times New Roman" w:cs="Times New Roman" w:eastAsia="Times New Roman" w:hAnsi="Times New Roman"/>
                <w:sz w:val="14"/>
                <w:szCs w:val="14"/>
                <w:color w:val="auto"/>
              </w:rPr>
              <w:t>UPPLEMENTAL</w:t>
            </w:r>
            <w:r>
              <w:rPr>
                <w:rFonts w:ascii="Times New Roman" w:cs="Times New Roman" w:eastAsia="Times New Roman" w:hAnsi="Times New Roman"/>
                <w:sz w:val="18"/>
                <w:szCs w:val="18"/>
                <w:color w:val="auto"/>
              </w:rPr>
              <w:t xml:space="preserve"> I</w:t>
            </w:r>
            <w:r>
              <w:rPr>
                <w:rFonts w:ascii="Times New Roman" w:cs="Times New Roman" w:eastAsia="Times New Roman" w:hAnsi="Times New Roman"/>
                <w:sz w:val="14"/>
                <w:szCs w:val="14"/>
                <w:color w:val="auto"/>
              </w:rPr>
              <w:t>NDENTURES</w:t>
            </w:r>
          </w:p>
        </w:tc>
        <w:tc>
          <w:tcPr>
            <w:tcW w:w="320" w:type="dxa"/>
            <w:vAlign w:val="bottom"/>
          </w:tcPr>
          <w:p>
            <w:pPr>
              <w:spacing w:after="0"/>
              <w:rPr>
                <w:sz w:val="20"/>
                <w:szCs w:val="20"/>
                <w:color w:val="auto"/>
              </w:rPr>
            </w:pPr>
          </w:p>
        </w:tc>
      </w:tr>
      <w:tr>
        <w:trPr>
          <w:trHeight w:val="304"/>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10.01.</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Supplemental Indentures Without Consent of Holders</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52</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10.02.</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Supplemental Indentures with Consent of Holders</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53</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10.03.</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Effect of Supplemental Indentures</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54</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10.04.</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Notation on Notes</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54</w:t>
            </w:r>
          </w:p>
        </w:tc>
      </w:tr>
      <w:tr>
        <w:trPr>
          <w:trHeight w:val="23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10.05.</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Evidence of Compliance of Supplemental Indenture to Be Furnished Trustee</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55</w:t>
            </w:r>
          </w:p>
        </w:tc>
      </w:tr>
      <w:tr>
        <w:trPr>
          <w:trHeight w:val="306"/>
        </w:trPr>
        <w:tc>
          <w:tcPr>
            <w:tcW w:w="1160" w:type="dxa"/>
            <w:vAlign w:val="bottom"/>
          </w:tcPr>
          <w:p>
            <w:pPr>
              <w:spacing w:after="0"/>
              <w:rPr>
                <w:sz w:val="24"/>
                <w:szCs w:val="24"/>
                <w:color w:val="auto"/>
              </w:rPr>
            </w:pPr>
          </w:p>
        </w:tc>
        <w:tc>
          <w:tcPr>
            <w:tcW w:w="9480" w:type="dxa"/>
            <w:vAlign w:val="bottom"/>
          </w:tcPr>
          <w:p>
            <w:pPr>
              <w:jc w:val="center"/>
              <w:ind w:left="10"/>
              <w:spacing w:after="0"/>
              <w:rPr>
                <w:sz w:val="20"/>
                <w:szCs w:val="20"/>
                <w:color w:val="auto"/>
              </w:rPr>
            </w:pPr>
            <w:r>
              <w:rPr>
                <w:rFonts w:ascii="Times New Roman" w:cs="Times New Roman" w:eastAsia="Times New Roman" w:hAnsi="Times New Roman"/>
                <w:sz w:val="18"/>
                <w:szCs w:val="18"/>
                <w:color w:val="auto"/>
                <w:w w:val="99"/>
              </w:rPr>
              <w:t>ARTICLE 11</w:t>
            </w:r>
          </w:p>
        </w:tc>
        <w:tc>
          <w:tcPr>
            <w:tcW w:w="320" w:type="dxa"/>
            <w:vAlign w:val="bottom"/>
          </w:tcPr>
          <w:p>
            <w:pPr>
              <w:spacing w:after="0"/>
              <w:rPr>
                <w:sz w:val="24"/>
                <w:szCs w:val="24"/>
                <w:color w:val="auto"/>
              </w:rPr>
            </w:pPr>
          </w:p>
        </w:tc>
      </w:tr>
      <w:tr>
        <w:trPr>
          <w:trHeight w:val="234"/>
        </w:trPr>
        <w:tc>
          <w:tcPr>
            <w:tcW w:w="1160" w:type="dxa"/>
            <w:vAlign w:val="bottom"/>
          </w:tcPr>
          <w:p>
            <w:pPr>
              <w:spacing w:after="0"/>
              <w:rPr>
                <w:sz w:val="20"/>
                <w:szCs w:val="20"/>
                <w:color w:val="auto"/>
              </w:rPr>
            </w:pPr>
          </w:p>
        </w:tc>
        <w:tc>
          <w:tcPr>
            <w:tcW w:w="9480" w:type="dxa"/>
            <w:vAlign w:val="bottom"/>
          </w:tcPr>
          <w:p>
            <w:pPr>
              <w:jc w:val="center"/>
              <w:ind w:left="10"/>
              <w:spacing w:after="0"/>
              <w:rPr>
                <w:sz w:val="20"/>
                <w:szCs w:val="20"/>
                <w:color w:val="auto"/>
              </w:rPr>
            </w:pPr>
            <w:r>
              <w:rPr>
                <w:rFonts w:ascii="Times New Roman" w:cs="Times New Roman" w:eastAsia="Times New Roman" w:hAnsi="Times New Roman"/>
                <w:sz w:val="18"/>
                <w:szCs w:val="18"/>
                <w:color w:val="auto"/>
              </w:rPr>
              <w:t>C</w:t>
            </w:r>
            <w:r>
              <w:rPr>
                <w:rFonts w:ascii="Times New Roman" w:cs="Times New Roman" w:eastAsia="Times New Roman" w:hAnsi="Times New Roman"/>
                <w:sz w:val="14"/>
                <w:szCs w:val="14"/>
                <w:color w:val="auto"/>
              </w:rPr>
              <w:t>ONSOLIDATION</w:t>
            </w:r>
            <w:r>
              <w:rPr>
                <w:rFonts w:ascii="Times New Roman" w:cs="Times New Roman" w:eastAsia="Times New Roman" w:hAnsi="Times New Roman"/>
                <w:sz w:val="18"/>
                <w:szCs w:val="18"/>
                <w:color w:val="auto"/>
              </w:rPr>
              <w:t>, M</w:t>
            </w:r>
            <w:r>
              <w:rPr>
                <w:rFonts w:ascii="Times New Roman" w:cs="Times New Roman" w:eastAsia="Times New Roman" w:hAnsi="Times New Roman"/>
                <w:sz w:val="14"/>
                <w:szCs w:val="14"/>
                <w:color w:val="auto"/>
              </w:rPr>
              <w:t>ERGER</w:t>
            </w:r>
            <w:r>
              <w:rPr>
                <w:rFonts w:ascii="Times New Roman" w:cs="Times New Roman" w:eastAsia="Times New Roman" w:hAnsi="Times New Roman"/>
                <w:sz w:val="18"/>
                <w:szCs w:val="18"/>
                <w:color w:val="auto"/>
              </w:rPr>
              <w:t>, S</w:t>
            </w:r>
            <w:r>
              <w:rPr>
                <w:rFonts w:ascii="Times New Roman" w:cs="Times New Roman" w:eastAsia="Times New Roman" w:hAnsi="Times New Roman"/>
                <w:sz w:val="14"/>
                <w:szCs w:val="14"/>
                <w:color w:val="auto"/>
              </w:rPr>
              <w:t>ALE</w:t>
            </w:r>
            <w:r>
              <w:rPr>
                <w:rFonts w:ascii="Times New Roman" w:cs="Times New Roman" w:eastAsia="Times New Roman" w:hAnsi="Times New Roman"/>
                <w:sz w:val="18"/>
                <w:szCs w:val="18"/>
                <w:color w:val="auto"/>
              </w:rPr>
              <w:t>, C</w:t>
            </w:r>
            <w:r>
              <w:rPr>
                <w:rFonts w:ascii="Times New Roman" w:cs="Times New Roman" w:eastAsia="Times New Roman" w:hAnsi="Times New Roman"/>
                <w:sz w:val="14"/>
                <w:szCs w:val="14"/>
                <w:color w:val="auto"/>
              </w:rPr>
              <w:t>ONVEYANCE AND</w:t>
            </w:r>
            <w:r>
              <w:rPr>
                <w:rFonts w:ascii="Times New Roman" w:cs="Times New Roman" w:eastAsia="Times New Roman" w:hAnsi="Times New Roman"/>
                <w:sz w:val="18"/>
                <w:szCs w:val="18"/>
                <w:color w:val="auto"/>
              </w:rPr>
              <w:t xml:space="preserve"> L</w:t>
            </w:r>
            <w:r>
              <w:rPr>
                <w:rFonts w:ascii="Times New Roman" w:cs="Times New Roman" w:eastAsia="Times New Roman" w:hAnsi="Times New Roman"/>
                <w:sz w:val="14"/>
                <w:szCs w:val="14"/>
                <w:color w:val="auto"/>
              </w:rPr>
              <w:t>EASE</w:t>
            </w:r>
          </w:p>
        </w:tc>
        <w:tc>
          <w:tcPr>
            <w:tcW w:w="320" w:type="dxa"/>
            <w:vAlign w:val="bottom"/>
          </w:tcPr>
          <w:p>
            <w:pPr>
              <w:spacing w:after="0"/>
              <w:rPr>
                <w:sz w:val="20"/>
                <w:szCs w:val="20"/>
                <w:color w:val="auto"/>
              </w:rPr>
            </w:pPr>
          </w:p>
        </w:tc>
      </w:tr>
      <w:tr>
        <w:trPr>
          <w:trHeight w:val="304"/>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11.01.</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Company May Consolidate, Etc. on Certain Terms</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55</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11.02.</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Successor Corporation to Be Substituted</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55</w:t>
            </w:r>
          </w:p>
        </w:tc>
      </w:tr>
      <w:tr>
        <w:trPr>
          <w:trHeight w:val="23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11.03.</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Opinion of Counsel to Be Given to Trustee</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56</w:t>
            </w:r>
          </w:p>
        </w:tc>
      </w:tr>
      <w:tr>
        <w:trPr>
          <w:trHeight w:val="306"/>
        </w:trPr>
        <w:tc>
          <w:tcPr>
            <w:tcW w:w="1160" w:type="dxa"/>
            <w:vAlign w:val="bottom"/>
          </w:tcPr>
          <w:p>
            <w:pPr>
              <w:spacing w:after="0"/>
              <w:rPr>
                <w:sz w:val="24"/>
                <w:szCs w:val="24"/>
                <w:color w:val="auto"/>
              </w:rPr>
            </w:pPr>
          </w:p>
        </w:tc>
        <w:tc>
          <w:tcPr>
            <w:tcW w:w="9480" w:type="dxa"/>
            <w:vAlign w:val="bottom"/>
          </w:tcPr>
          <w:p>
            <w:pPr>
              <w:jc w:val="center"/>
              <w:ind w:left="10"/>
              <w:spacing w:after="0"/>
              <w:rPr>
                <w:sz w:val="20"/>
                <w:szCs w:val="20"/>
                <w:color w:val="auto"/>
              </w:rPr>
            </w:pPr>
            <w:r>
              <w:rPr>
                <w:rFonts w:ascii="Times New Roman" w:cs="Times New Roman" w:eastAsia="Times New Roman" w:hAnsi="Times New Roman"/>
                <w:sz w:val="18"/>
                <w:szCs w:val="18"/>
                <w:color w:val="auto"/>
                <w:w w:val="99"/>
              </w:rPr>
              <w:t>ARTICLE 12</w:t>
            </w:r>
          </w:p>
        </w:tc>
        <w:tc>
          <w:tcPr>
            <w:tcW w:w="320" w:type="dxa"/>
            <w:vAlign w:val="bottom"/>
          </w:tcPr>
          <w:p>
            <w:pPr>
              <w:spacing w:after="0"/>
              <w:rPr>
                <w:sz w:val="24"/>
                <w:szCs w:val="24"/>
                <w:color w:val="auto"/>
              </w:rPr>
            </w:pPr>
          </w:p>
        </w:tc>
      </w:tr>
      <w:tr>
        <w:trPr>
          <w:trHeight w:val="234"/>
        </w:trPr>
        <w:tc>
          <w:tcPr>
            <w:tcW w:w="1160" w:type="dxa"/>
            <w:vAlign w:val="bottom"/>
          </w:tcPr>
          <w:p>
            <w:pPr>
              <w:spacing w:after="0"/>
              <w:rPr>
                <w:sz w:val="20"/>
                <w:szCs w:val="20"/>
                <w:color w:val="auto"/>
              </w:rPr>
            </w:pPr>
          </w:p>
        </w:tc>
        <w:tc>
          <w:tcPr>
            <w:tcW w:w="9480" w:type="dxa"/>
            <w:vAlign w:val="bottom"/>
          </w:tcPr>
          <w:p>
            <w:pPr>
              <w:jc w:val="center"/>
              <w:spacing w:after="0"/>
              <w:rPr>
                <w:sz w:val="20"/>
                <w:szCs w:val="20"/>
                <w:color w:val="auto"/>
              </w:rPr>
            </w:pPr>
            <w:r>
              <w:rPr>
                <w:rFonts w:ascii="Times New Roman" w:cs="Times New Roman" w:eastAsia="Times New Roman" w:hAnsi="Times New Roman"/>
                <w:sz w:val="18"/>
                <w:szCs w:val="18"/>
                <w:color w:val="auto"/>
              </w:rPr>
              <w:t>I</w:t>
            </w:r>
            <w:r>
              <w:rPr>
                <w:rFonts w:ascii="Times New Roman" w:cs="Times New Roman" w:eastAsia="Times New Roman" w:hAnsi="Times New Roman"/>
                <w:sz w:val="14"/>
                <w:szCs w:val="14"/>
                <w:color w:val="auto"/>
              </w:rPr>
              <w:t>MMUNITY OF</w:t>
            </w:r>
            <w:r>
              <w:rPr>
                <w:rFonts w:ascii="Times New Roman" w:cs="Times New Roman" w:eastAsia="Times New Roman" w:hAnsi="Times New Roman"/>
                <w:sz w:val="18"/>
                <w:szCs w:val="18"/>
                <w:color w:val="auto"/>
              </w:rPr>
              <w:t xml:space="preserve"> I</w:t>
            </w:r>
            <w:r>
              <w:rPr>
                <w:rFonts w:ascii="Times New Roman" w:cs="Times New Roman" w:eastAsia="Times New Roman" w:hAnsi="Times New Roman"/>
                <w:sz w:val="14"/>
                <w:szCs w:val="14"/>
                <w:color w:val="auto"/>
              </w:rPr>
              <w:t>NCORPORATORS</w:t>
            </w:r>
            <w:r>
              <w:rPr>
                <w:rFonts w:ascii="Times New Roman" w:cs="Times New Roman" w:eastAsia="Times New Roman" w:hAnsi="Times New Roman"/>
                <w:sz w:val="18"/>
                <w:szCs w:val="18"/>
                <w:color w:val="auto"/>
              </w:rPr>
              <w:t>, S</w:t>
            </w:r>
            <w:r>
              <w:rPr>
                <w:rFonts w:ascii="Times New Roman" w:cs="Times New Roman" w:eastAsia="Times New Roman" w:hAnsi="Times New Roman"/>
                <w:sz w:val="14"/>
                <w:szCs w:val="14"/>
                <w:color w:val="auto"/>
              </w:rPr>
              <w:t>TOCKHOLDERS</w:t>
            </w:r>
            <w:r>
              <w:rPr>
                <w:rFonts w:ascii="Times New Roman" w:cs="Times New Roman" w:eastAsia="Times New Roman" w:hAnsi="Times New Roman"/>
                <w:sz w:val="18"/>
                <w:szCs w:val="18"/>
                <w:color w:val="auto"/>
              </w:rPr>
              <w:t>, O</w:t>
            </w:r>
            <w:r>
              <w:rPr>
                <w:rFonts w:ascii="Times New Roman" w:cs="Times New Roman" w:eastAsia="Times New Roman" w:hAnsi="Times New Roman"/>
                <w:sz w:val="14"/>
                <w:szCs w:val="14"/>
                <w:color w:val="auto"/>
              </w:rPr>
              <w:t>FFICERS AND</w:t>
            </w:r>
            <w:r>
              <w:rPr>
                <w:rFonts w:ascii="Times New Roman" w:cs="Times New Roman" w:eastAsia="Times New Roman" w:hAnsi="Times New Roman"/>
                <w:sz w:val="18"/>
                <w:szCs w:val="18"/>
                <w:color w:val="auto"/>
              </w:rPr>
              <w:t xml:space="preserve"> D</w:t>
            </w:r>
            <w:r>
              <w:rPr>
                <w:rFonts w:ascii="Times New Roman" w:cs="Times New Roman" w:eastAsia="Times New Roman" w:hAnsi="Times New Roman"/>
                <w:sz w:val="14"/>
                <w:szCs w:val="14"/>
                <w:color w:val="auto"/>
              </w:rPr>
              <w:t>IRECTORS</w:t>
            </w:r>
          </w:p>
        </w:tc>
        <w:tc>
          <w:tcPr>
            <w:tcW w:w="320" w:type="dxa"/>
            <w:vAlign w:val="bottom"/>
          </w:tcPr>
          <w:p>
            <w:pPr>
              <w:spacing w:after="0"/>
              <w:rPr>
                <w:sz w:val="20"/>
                <w:szCs w:val="20"/>
                <w:color w:val="auto"/>
              </w:rPr>
            </w:pPr>
          </w:p>
        </w:tc>
      </w:tr>
      <w:tr>
        <w:trPr>
          <w:trHeight w:val="324"/>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12.01.</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Indenture and Notes Solely Corporate Obligations</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56</w:t>
            </w:r>
          </w:p>
        </w:tc>
      </w:tr>
      <w:tr>
        <w:trPr>
          <w:trHeight w:val="306"/>
        </w:trPr>
        <w:tc>
          <w:tcPr>
            <w:tcW w:w="1160" w:type="dxa"/>
            <w:vAlign w:val="bottom"/>
          </w:tcPr>
          <w:p>
            <w:pPr>
              <w:spacing w:after="0"/>
              <w:rPr>
                <w:sz w:val="24"/>
                <w:szCs w:val="24"/>
                <w:color w:val="auto"/>
              </w:rPr>
            </w:pPr>
          </w:p>
        </w:tc>
        <w:tc>
          <w:tcPr>
            <w:tcW w:w="9480" w:type="dxa"/>
            <w:vAlign w:val="bottom"/>
          </w:tcPr>
          <w:p>
            <w:pPr>
              <w:jc w:val="center"/>
              <w:ind w:left="10"/>
              <w:spacing w:after="0"/>
              <w:rPr>
                <w:sz w:val="20"/>
                <w:szCs w:val="20"/>
                <w:color w:val="auto"/>
              </w:rPr>
            </w:pPr>
            <w:r>
              <w:rPr>
                <w:rFonts w:ascii="Times New Roman" w:cs="Times New Roman" w:eastAsia="Times New Roman" w:hAnsi="Times New Roman"/>
                <w:sz w:val="18"/>
                <w:szCs w:val="18"/>
                <w:color w:val="auto"/>
                <w:w w:val="99"/>
              </w:rPr>
              <w:t>ARTICLE 13</w:t>
            </w:r>
          </w:p>
        </w:tc>
        <w:tc>
          <w:tcPr>
            <w:tcW w:w="320" w:type="dxa"/>
            <w:vAlign w:val="bottom"/>
          </w:tcPr>
          <w:p>
            <w:pPr>
              <w:spacing w:after="0"/>
              <w:rPr>
                <w:sz w:val="24"/>
                <w:szCs w:val="24"/>
                <w:color w:val="auto"/>
              </w:rPr>
            </w:pPr>
          </w:p>
        </w:tc>
      </w:tr>
      <w:tr>
        <w:trPr>
          <w:trHeight w:val="234"/>
        </w:trPr>
        <w:tc>
          <w:tcPr>
            <w:tcW w:w="1160" w:type="dxa"/>
            <w:vAlign w:val="bottom"/>
          </w:tcPr>
          <w:p>
            <w:pPr>
              <w:spacing w:after="0"/>
              <w:rPr>
                <w:sz w:val="20"/>
                <w:szCs w:val="20"/>
                <w:color w:val="auto"/>
              </w:rPr>
            </w:pPr>
          </w:p>
        </w:tc>
        <w:tc>
          <w:tcPr>
            <w:tcW w:w="9480" w:type="dxa"/>
            <w:vAlign w:val="bottom"/>
          </w:tcPr>
          <w:p>
            <w:pPr>
              <w:jc w:val="center"/>
              <w:ind w:left="10"/>
              <w:spacing w:after="0"/>
              <w:rPr>
                <w:sz w:val="20"/>
                <w:szCs w:val="20"/>
                <w:color w:val="auto"/>
              </w:rPr>
            </w:pPr>
            <w:r>
              <w:rPr>
                <w:rFonts w:ascii="Times New Roman" w:cs="Times New Roman" w:eastAsia="Times New Roman" w:hAnsi="Times New Roman"/>
                <w:sz w:val="18"/>
                <w:szCs w:val="18"/>
                <w:color w:val="auto"/>
              </w:rPr>
              <w:t>I</w:t>
            </w:r>
            <w:r>
              <w:rPr>
                <w:rFonts w:ascii="Times New Roman" w:cs="Times New Roman" w:eastAsia="Times New Roman" w:hAnsi="Times New Roman"/>
                <w:sz w:val="14"/>
                <w:szCs w:val="14"/>
                <w:color w:val="auto"/>
              </w:rPr>
              <w:t>NTENTIONALLY</w:t>
            </w:r>
            <w:r>
              <w:rPr>
                <w:rFonts w:ascii="Times New Roman" w:cs="Times New Roman" w:eastAsia="Times New Roman" w:hAnsi="Times New Roman"/>
                <w:sz w:val="18"/>
                <w:szCs w:val="18"/>
                <w:color w:val="auto"/>
              </w:rPr>
              <w:t xml:space="preserve"> O</w:t>
            </w:r>
            <w:r>
              <w:rPr>
                <w:rFonts w:ascii="Times New Roman" w:cs="Times New Roman" w:eastAsia="Times New Roman" w:hAnsi="Times New Roman"/>
                <w:sz w:val="14"/>
                <w:szCs w:val="14"/>
                <w:color w:val="auto"/>
              </w:rPr>
              <w:t>MITTED</w:t>
            </w:r>
          </w:p>
        </w:tc>
        <w:tc>
          <w:tcPr>
            <w:tcW w:w="320" w:type="dxa"/>
            <w:vAlign w:val="bottom"/>
          </w:tcPr>
          <w:p>
            <w:pPr>
              <w:spacing w:after="0"/>
              <w:rPr>
                <w:sz w:val="20"/>
                <w:szCs w:val="20"/>
                <w:color w:val="auto"/>
              </w:rPr>
            </w:pPr>
          </w:p>
        </w:tc>
      </w:tr>
      <w:tr>
        <w:trPr>
          <w:trHeight w:val="306"/>
        </w:trPr>
        <w:tc>
          <w:tcPr>
            <w:tcW w:w="1160" w:type="dxa"/>
            <w:vAlign w:val="bottom"/>
          </w:tcPr>
          <w:p>
            <w:pPr>
              <w:spacing w:after="0"/>
              <w:rPr>
                <w:sz w:val="24"/>
                <w:szCs w:val="24"/>
                <w:color w:val="auto"/>
              </w:rPr>
            </w:pPr>
          </w:p>
        </w:tc>
        <w:tc>
          <w:tcPr>
            <w:tcW w:w="9480" w:type="dxa"/>
            <w:vAlign w:val="bottom"/>
          </w:tcPr>
          <w:p>
            <w:pPr>
              <w:jc w:val="center"/>
              <w:ind w:left="10"/>
              <w:spacing w:after="0"/>
              <w:rPr>
                <w:sz w:val="20"/>
                <w:szCs w:val="20"/>
                <w:color w:val="auto"/>
              </w:rPr>
            </w:pPr>
            <w:r>
              <w:rPr>
                <w:rFonts w:ascii="Times New Roman" w:cs="Times New Roman" w:eastAsia="Times New Roman" w:hAnsi="Times New Roman"/>
                <w:sz w:val="18"/>
                <w:szCs w:val="18"/>
                <w:color w:val="auto"/>
                <w:w w:val="99"/>
              </w:rPr>
              <w:t>ARTICLE 14</w:t>
            </w:r>
          </w:p>
        </w:tc>
        <w:tc>
          <w:tcPr>
            <w:tcW w:w="320" w:type="dxa"/>
            <w:vAlign w:val="bottom"/>
          </w:tcPr>
          <w:p>
            <w:pPr>
              <w:spacing w:after="0"/>
              <w:rPr>
                <w:sz w:val="24"/>
                <w:szCs w:val="24"/>
                <w:color w:val="auto"/>
              </w:rPr>
            </w:pPr>
          </w:p>
        </w:tc>
      </w:tr>
      <w:tr>
        <w:trPr>
          <w:trHeight w:val="234"/>
        </w:trPr>
        <w:tc>
          <w:tcPr>
            <w:tcW w:w="1160" w:type="dxa"/>
            <w:vAlign w:val="bottom"/>
          </w:tcPr>
          <w:p>
            <w:pPr>
              <w:spacing w:after="0"/>
              <w:rPr>
                <w:sz w:val="20"/>
                <w:szCs w:val="20"/>
                <w:color w:val="auto"/>
              </w:rPr>
            </w:pPr>
          </w:p>
        </w:tc>
        <w:tc>
          <w:tcPr>
            <w:tcW w:w="9480" w:type="dxa"/>
            <w:vAlign w:val="bottom"/>
          </w:tcPr>
          <w:p>
            <w:pPr>
              <w:jc w:val="center"/>
              <w:ind w:left="10"/>
              <w:spacing w:after="0"/>
              <w:rPr>
                <w:sz w:val="20"/>
                <w:szCs w:val="20"/>
                <w:color w:val="auto"/>
              </w:rPr>
            </w:pPr>
            <w:r>
              <w:rPr>
                <w:rFonts w:ascii="Times New Roman" w:cs="Times New Roman" w:eastAsia="Times New Roman" w:hAnsi="Times New Roman"/>
                <w:sz w:val="18"/>
                <w:szCs w:val="18"/>
                <w:color w:val="auto"/>
              </w:rPr>
              <w:t>C</w:t>
            </w:r>
            <w:r>
              <w:rPr>
                <w:rFonts w:ascii="Times New Roman" w:cs="Times New Roman" w:eastAsia="Times New Roman" w:hAnsi="Times New Roman"/>
                <w:sz w:val="14"/>
                <w:szCs w:val="14"/>
                <w:color w:val="auto"/>
              </w:rPr>
              <w:t>ONVERSION OF</w:t>
            </w:r>
            <w:r>
              <w:rPr>
                <w:rFonts w:ascii="Times New Roman" w:cs="Times New Roman" w:eastAsia="Times New Roman" w:hAnsi="Times New Roman"/>
                <w:sz w:val="18"/>
                <w:szCs w:val="18"/>
                <w:color w:val="auto"/>
              </w:rPr>
              <w:t xml:space="preserve"> N</w:t>
            </w:r>
            <w:r>
              <w:rPr>
                <w:rFonts w:ascii="Times New Roman" w:cs="Times New Roman" w:eastAsia="Times New Roman" w:hAnsi="Times New Roman"/>
                <w:sz w:val="14"/>
                <w:szCs w:val="14"/>
                <w:color w:val="auto"/>
              </w:rPr>
              <w:t>OTES</w:t>
            </w:r>
          </w:p>
        </w:tc>
        <w:tc>
          <w:tcPr>
            <w:tcW w:w="320" w:type="dxa"/>
            <w:vAlign w:val="bottom"/>
          </w:tcPr>
          <w:p>
            <w:pPr>
              <w:spacing w:after="0"/>
              <w:rPr>
                <w:sz w:val="20"/>
                <w:szCs w:val="20"/>
                <w:color w:val="auto"/>
              </w:rPr>
            </w:pPr>
          </w:p>
        </w:tc>
      </w:tr>
      <w:tr>
        <w:trPr>
          <w:trHeight w:val="304"/>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14.01.</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Conversion Privilege</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57</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14.02.</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Conversion Procedure; Settlement Upon Conversion.</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60</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14.03.</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Increased Conversion Rate Applicable to Certain Notes Surrendered in Connection with Make-Whole Fundamental Changes or</w:t>
            </w:r>
          </w:p>
        </w:tc>
        <w:tc>
          <w:tcPr>
            <w:tcW w:w="320" w:type="dxa"/>
            <w:vAlign w:val="bottom"/>
          </w:tcPr>
          <w:p>
            <w:pPr>
              <w:spacing w:after="0"/>
              <w:rPr>
                <w:sz w:val="18"/>
                <w:szCs w:val="18"/>
                <w:color w:val="auto"/>
              </w:rPr>
            </w:pPr>
          </w:p>
        </w:tc>
      </w:tr>
      <w:tr>
        <w:trPr>
          <w:trHeight w:val="216"/>
        </w:trPr>
        <w:tc>
          <w:tcPr>
            <w:tcW w:w="1160" w:type="dxa"/>
            <w:vAlign w:val="bottom"/>
          </w:tcPr>
          <w:p>
            <w:pPr>
              <w:spacing w:after="0"/>
              <w:rPr>
                <w:sz w:val="18"/>
                <w:szCs w:val="18"/>
                <w:color w:val="auto"/>
              </w:rPr>
            </w:pP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a Redemption Notice</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65</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14.04.</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Adjustment of Conversion Rate</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68</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14.05.</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Adjustments of Prices</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77</w:t>
            </w:r>
          </w:p>
        </w:tc>
      </w:tr>
      <w:tr>
        <w:trPr>
          <w:trHeight w:val="23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14.06.</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Shares to Be Fully Paid</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77</w:t>
            </w:r>
          </w:p>
        </w:tc>
      </w:tr>
    </w:tbl>
    <w:p>
      <w:pPr>
        <w:spacing w:after="0" w:line="130" w:lineRule="exact"/>
        <w:rPr>
          <w:sz w:val="20"/>
          <w:szCs w:val="20"/>
          <w:color w:val="auto"/>
        </w:rPr>
      </w:pPr>
      <w:r>
        <w:rPr>
          <w:sz w:val="20"/>
          <w:szCs w:val="20"/>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extLst>
                    </a:blip>
                    <a:srcRect/>
                    <a:stretch>
                      <a:fillRect/>
                    </a:stretch>
                  </pic:blipFill>
                  <pic:spPr bwMode="auto">
                    <a:xfrm>
                      <a:off x="0" y="0"/>
                      <a:ext cx="7174865" cy="38100"/>
                    </a:xfrm>
                    <a:prstGeom prst="rect">
                      <a:avLst/>
                    </a:prstGeom>
                    <a:noFill/>
                  </pic:spPr>
                </pic:pic>
              </a:graphicData>
            </a:graphic>
          </wp:anchor>
        </w:drawing>
      </w:r>
    </w:p>
    <w:p>
      <w:pPr>
        <w:jc w:val="center"/>
        <w:ind w:right="-39"/>
        <w:spacing w:after="0"/>
        <w:rPr>
          <w:sz w:val="20"/>
          <w:szCs w:val="20"/>
          <w:color w:val="auto"/>
        </w:rPr>
      </w:pPr>
      <w:r>
        <w:rPr>
          <w:rFonts w:ascii="Times New Roman" w:cs="Times New Roman" w:eastAsia="Times New Roman" w:hAnsi="Times New Roman"/>
          <w:sz w:val="18"/>
          <w:szCs w:val="18"/>
          <w:color w:val="auto"/>
        </w:rPr>
        <w:t>iii</w:t>
      </w:r>
    </w:p>
    <w:p>
      <w:pPr>
        <w:sectPr>
          <w:pgSz w:w="11900" w:h="16838" w:orient="portrait"/>
          <w:cols w:equalWidth="0" w:num="1">
            <w:col w:w="10960"/>
          </w:cols>
          <w:pgMar w:left="440" w:top="270" w:right="499" w:bottom="1440" w:gutter="0" w:footer="0" w:header="0"/>
        </w:sectPr>
      </w:pPr>
    </w:p>
    <w:bookmarkStart w:id="9" w:name="page10"/>
    <w:bookmarkEnd w:id="9"/>
    <w:tbl>
      <w:tblPr>
        <w:tblLayout w:type="fixed"/>
        <w:tblInd w:w="0" w:type="dxa"/>
        <w:tblCellMar>
          <w:top w:w="0" w:type="dxa"/>
          <w:left w:w="0" w:type="dxa"/>
          <w:bottom w:w="0" w:type="dxa"/>
          <w:right w:w="0" w:type="dxa"/>
        </w:tblCellMar>
      </w:tblP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Section 14.07</w:t>
            </w:r>
            <w:r>
              <w:rPr>
                <w:rFonts w:ascii="Times New Roman" w:cs="Times New Roman" w:eastAsia="Times New Roman" w:hAnsi="Times New Roman"/>
                <w:sz w:val="18"/>
                <w:szCs w:val="18"/>
                <w:i w:val="1"/>
                <w:iCs w:val="1"/>
                <w:color w:val="auto"/>
              </w:rPr>
              <w:t>.   Effect of Recapitalizations, Reclassifications and Changes of the Common Stock</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77</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14.08</w:t>
            </w:r>
            <w:r>
              <w:rPr>
                <w:rFonts w:ascii="Times New Roman" w:cs="Times New Roman" w:eastAsia="Times New Roman" w:hAnsi="Times New Roman"/>
                <w:sz w:val="18"/>
                <w:szCs w:val="18"/>
                <w:i w:val="1"/>
                <w:iCs w:val="1"/>
                <w:color w:val="auto"/>
              </w:rPr>
              <w:t>.</w:t>
            </w:r>
          </w:p>
        </w:tc>
        <w:tc>
          <w:tcPr>
            <w:tcW w:w="850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Certain Covenants</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79</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Section 14.09</w:t>
            </w:r>
            <w:r>
              <w:rPr>
                <w:rFonts w:ascii="Times New Roman" w:cs="Times New Roman" w:eastAsia="Times New Roman" w:hAnsi="Times New Roman"/>
                <w:sz w:val="18"/>
                <w:szCs w:val="18"/>
                <w:i w:val="1"/>
                <w:iCs w:val="1"/>
                <w:color w:val="auto"/>
              </w:rPr>
              <w:t>.   Responsibility of Trustee</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80</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Section 14.10</w:t>
            </w:r>
            <w:r>
              <w:rPr>
                <w:rFonts w:ascii="Times New Roman" w:cs="Times New Roman" w:eastAsia="Times New Roman" w:hAnsi="Times New Roman"/>
                <w:sz w:val="18"/>
                <w:szCs w:val="18"/>
                <w:i w:val="1"/>
                <w:iCs w:val="1"/>
                <w:color w:val="auto"/>
              </w:rPr>
              <w:t>.   Notice to Holders Prior to Certain Actions</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80</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Section 14.11</w:t>
            </w:r>
            <w:r>
              <w:rPr>
                <w:rFonts w:ascii="Times New Roman" w:cs="Times New Roman" w:eastAsia="Times New Roman" w:hAnsi="Times New Roman"/>
                <w:sz w:val="18"/>
                <w:szCs w:val="18"/>
                <w:i w:val="1"/>
                <w:iCs w:val="1"/>
                <w:color w:val="auto"/>
              </w:rPr>
              <w:t>.   Stockholder Rights Plans</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81</w:t>
            </w:r>
          </w:p>
        </w:tc>
      </w:tr>
      <w:tr>
        <w:trPr>
          <w:trHeight w:val="23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14.12.   </w:t>
            </w:r>
            <w:r>
              <w:rPr>
                <w:rFonts w:ascii="Times New Roman" w:cs="Times New Roman" w:eastAsia="Times New Roman" w:hAnsi="Times New Roman"/>
                <w:sz w:val="18"/>
                <w:szCs w:val="18"/>
                <w:i w:val="1"/>
                <w:iCs w:val="1"/>
                <w:color w:val="auto"/>
              </w:rPr>
              <w:t>Exchange in Lieu of Conversion</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81</w:t>
            </w:r>
          </w:p>
        </w:tc>
      </w:tr>
      <w:tr>
        <w:trPr>
          <w:trHeight w:val="306"/>
        </w:trPr>
        <w:tc>
          <w:tcPr>
            <w:tcW w:w="1160" w:type="dxa"/>
            <w:vAlign w:val="bottom"/>
          </w:tcPr>
          <w:p>
            <w:pPr>
              <w:spacing w:after="0"/>
              <w:rPr>
                <w:sz w:val="24"/>
                <w:szCs w:val="24"/>
                <w:color w:val="auto"/>
              </w:rPr>
            </w:pPr>
          </w:p>
        </w:tc>
        <w:tc>
          <w:tcPr>
            <w:tcW w:w="8500" w:type="dxa"/>
            <w:vAlign w:val="bottom"/>
          </w:tcPr>
          <w:p>
            <w:pPr>
              <w:jc w:val="center"/>
              <w:ind w:left="990"/>
              <w:spacing w:after="0"/>
              <w:rPr>
                <w:sz w:val="20"/>
                <w:szCs w:val="20"/>
                <w:color w:val="auto"/>
              </w:rPr>
            </w:pPr>
            <w:r>
              <w:rPr>
                <w:rFonts w:ascii="Times New Roman" w:cs="Times New Roman" w:eastAsia="Times New Roman" w:hAnsi="Times New Roman"/>
                <w:sz w:val="18"/>
                <w:szCs w:val="18"/>
                <w:color w:val="auto"/>
                <w:w w:val="99"/>
              </w:rPr>
              <w:t>ARTICLE 15</w:t>
            </w:r>
          </w:p>
        </w:tc>
        <w:tc>
          <w:tcPr>
            <w:tcW w:w="1300" w:type="dxa"/>
            <w:vAlign w:val="bottom"/>
          </w:tcPr>
          <w:p>
            <w:pPr>
              <w:spacing w:after="0"/>
              <w:rPr>
                <w:sz w:val="24"/>
                <w:szCs w:val="24"/>
                <w:color w:val="auto"/>
              </w:rPr>
            </w:pPr>
          </w:p>
        </w:tc>
      </w:tr>
      <w:tr>
        <w:trPr>
          <w:trHeight w:val="234"/>
        </w:trPr>
        <w:tc>
          <w:tcPr>
            <w:tcW w:w="1160" w:type="dxa"/>
            <w:vAlign w:val="bottom"/>
          </w:tcPr>
          <w:p>
            <w:pPr>
              <w:spacing w:after="0"/>
              <w:rPr>
                <w:sz w:val="20"/>
                <w:szCs w:val="20"/>
                <w:color w:val="auto"/>
              </w:rPr>
            </w:pPr>
          </w:p>
        </w:tc>
        <w:tc>
          <w:tcPr>
            <w:tcW w:w="8500" w:type="dxa"/>
            <w:vAlign w:val="bottom"/>
          </w:tcPr>
          <w:p>
            <w:pPr>
              <w:jc w:val="center"/>
              <w:ind w:left="990"/>
              <w:spacing w:after="0"/>
              <w:rPr>
                <w:sz w:val="20"/>
                <w:szCs w:val="20"/>
                <w:color w:val="auto"/>
              </w:rPr>
            </w:pPr>
            <w:r>
              <w:rPr>
                <w:rFonts w:ascii="Times New Roman" w:cs="Times New Roman" w:eastAsia="Times New Roman" w:hAnsi="Times New Roman"/>
                <w:sz w:val="18"/>
                <w:szCs w:val="18"/>
                <w:color w:val="auto"/>
              </w:rPr>
              <w:t>R</w:t>
            </w:r>
            <w:r>
              <w:rPr>
                <w:rFonts w:ascii="Times New Roman" w:cs="Times New Roman" w:eastAsia="Times New Roman" w:hAnsi="Times New Roman"/>
                <w:sz w:val="14"/>
                <w:szCs w:val="14"/>
                <w:color w:val="auto"/>
              </w:rPr>
              <w:t>EPURCHASE OF</w:t>
            </w:r>
            <w:r>
              <w:rPr>
                <w:rFonts w:ascii="Times New Roman" w:cs="Times New Roman" w:eastAsia="Times New Roman" w:hAnsi="Times New Roman"/>
                <w:sz w:val="18"/>
                <w:szCs w:val="18"/>
                <w:color w:val="auto"/>
              </w:rPr>
              <w:t xml:space="preserve"> N</w:t>
            </w:r>
            <w:r>
              <w:rPr>
                <w:rFonts w:ascii="Times New Roman" w:cs="Times New Roman" w:eastAsia="Times New Roman" w:hAnsi="Times New Roman"/>
                <w:sz w:val="14"/>
                <w:szCs w:val="14"/>
                <w:color w:val="auto"/>
              </w:rPr>
              <w:t>OTES AT</w:t>
            </w:r>
            <w:r>
              <w:rPr>
                <w:rFonts w:ascii="Times New Roman" w:cs="Times New Roman" w:eastAsia="Times New Roman" w:hAnsi="Times New Roman"/>
                <w:sz w:val="18"/>
                <w:szCs w:val="18"/>
                <w:color w:val="auto"/>
              </w:rPr>
              <w:t xml:space="preserve"> O</w:t>
            </w:r>
            <w:r>
              <w:rPr>
                <w:rFonts w:ascii="Times New Roman" w:cs="Times New Roman" w:eastAsia="Times New Roman" w:hAnsi="Times New Roman"/>
                <w:sz w:val="14"/>
                <w:szCs w:val="14"/>
                <w:color w:val="auto"/>
              </w:rPr>
              <w:t>PTION OF</w:t>
            </w:r>
            <w:r>
              <w:rPr>
                <w:rFonts w:ascii="Times New Roman" w:cs="Times New Roman" w:eastAsia="Times New Roman" w:hAnsi="Times New Roman"/>
                <w:sz w:val="18"/>
                <w:szCs w:val="18"/>
                <w:color w:val="auto"/>
              </w:rPr>
              <w:t xml:space="preserve"> H</w:t>
            </w:r>
            <w:r>
              <w:rPr>
                <w:rFonts w:ascii="Times New Roman" w:cs="Times New Roman" w:eastAsia="Times New Roman" w:hAnsi="Times New Roman"/>
                <w:sz w:val="14"/>
                <w:szCs w:val="14"/>
                <w:color w:val="auto"/>
              </w:rPr>
              <w:t>OLDERS</w:t>
            </w:r>
          </w:p>
        </w:tc>
        <w:tc>
          <w:tcPr>
            <w:tcW w:w="1300" w:type="dxa"/>
            <w:vAlign w:val="bottom"/>
          </w:tcPr>
          <w:p>
            <w:pPr>
              <w:spacing w:after="0"/>
              <w:rPr>
                <w:sz w:val="20"/>
                <w:szCs w:val="20"/>
                <w:color w:val="auto"/>
              </w:rPr>
            </w:pPr>
          </w:p>
        </w:tc>
      </w:tr>
      <w:tr>
        <w:trPr>
          <w:trHeight w:val="304"/>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Section 15.01</w:t>
            </w:r>
            <w:r>
              <w:rPr>
                <w:rFonts w:ascii="Times New Roman" w:cs="Times New Roman" w:eastAsia="Times New Roman" w:hAnsi="Times New Roman"/>
                <w:sz w:val="18"/>
                <w:szCs w:val="18"/>
                <w:i w:val="1"/>
                <w:iCs w:val="1"/>
                <w:color w:val="auto"/>
              </w:rPr>
              <w:t>.   Repurchase at Option of Holders</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82</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Section 15.02</w:t>
            </w:r>
            <w:r>
              <w:rPr>
                <w:rFonts w:ascii="Times New Roman" w:cs="Times New Roman" w:eastAsia="Times New Roman" w:hAnsi="Times New Roman"/>
                <w:sz w:val="18"/>
                <w:szCs w:val="18"/>
                <w:i w:val="1"/>
                <w:iCs w:val="1"/>
                <w:color w:val="auto"/>
              </w:rPr>
              <w:t>.   Repurchase at Option of Holders Upon a Fundamental Change</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84</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Section 15.03</w:t>
            </w:r>
            <w:r>
              <w:rPr>
                <w:rFonts w:ascii="Times New Roman" w:cs="Times New Roman" w:eastAsia="Times New Roman" w:hAnsi="Times New Roman"/>
                <w:sz w:val="18"/>
                <w:szCs w:val="18"/>
                <w:i w:val="1"/>
                <w:iCs w:val="1"/>
                <w:color w:val="auto"/>
              </w:rPr>
              <w:t>.   Withdrawal of Repurchase Notice or Fundamental Change Repurchase Notice</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87</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Section 15.04</w:t>
            </w:r>
            <w:r>
              <w:rPr>
                <w:rFonts w:ascii="Times New Roman" w:cs="Times New Roman" w:eastAsia="Times New Roman" w:hAnsi="Times New Roman"/>
                <w:sz w:val="18"/>
                <w:szCs w:val="18"/>
                <w:i w:val="1"/>
                <w:iCs w:val="1"/>
                <w:color w:val="auto"/>
              </w:rPr>
              <w:t>.   Deposit of Repurchase Price or Fundamental Change Repurchase Price</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87</w:t>
            </w:r>
          </w:p>
        </w:tc>
      </w:tr>
      <w:tr>
        <w:trPr>
          <w:trHeight w:val="23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15.05.   </w:t>
            </w:r>
            <w:r>
              <w:rPr>
                <w:rFonts w:ascii="Times New Roman" w:cs="Times New Roman" w:eastAsia="Times New Roman" w:hAnsi="Times New Roman"/>
                <w:sz w:val="18"/>
                <w:szCs w:val="18"/>
                <w:i w:val="1"/>
                <w:iCs w:val="1"/>
                <w:color w:val="auto"/>
              </w:rPr>
              <w:t>Covenant to Comply with Applicable Laws Upon Repurchase of Notes</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88</w:t>
            </w:r>
          </w:p>
        </w:tc>
      </w:tr>
      <w:tr>
        <w:trPr>
          <w:trHeight w:val="306"/>
        </w:trPr>
        <w:tc>
          <w:tcPr>
            <w:tcW w:w="1160" w:type="dxa"/>
            <w:vAlign w:val="bottom"/>
          </w:tcPr>
          <w:p>
            <w:pPr>
              <w:spacing w:after="0"/>
              <w:rPr>
                <w:sz w:val="24"/>
                <w:szCs w:val="24"/>
                <w:color w:val="auto"/>
              </w:rPr>
            </w:pPr>
          </w:p>
        </w:tc>
        <w:tc>
          <w:tcPr>
            <w:tcW w:w="8500" w:type="dxa"/>
            <w:vAlign w:val="bottom"/>
          </w:tcPr>
          <w:p>
            <w:pPr>
              <w:jc w:val="center"/>
              <w:ind w:left="990"/>
              <w:spacing w:after="0"/>
              <w:rPr>
                <w:sz w:val="20"/>
                <w:szCs w:val="20"/>
                <w:color w:val="auto"/>
              </w:rPr>
            </w:pPr>
            <w:r>
              <w:rPr>
                <w:rFonts w:ascii="Times New Roman" w:cs="Times New Roman" w:eastAsia="Times New Roman" w:hAnsi="Times New Roman"/>
                <w:sz w:val="18"/>
                <w:szCs w:val="18"/>
                <w:color w:val="auto"/>
                <w:w w:val="99"/>
              </w:rPr>
              <w:t>ARTICLE 16</w:t>
            </w:r>
          </w:p>
        </w:tc>
        <w:tc>
          <w:tcPr>
            <w:tcW w:w="1300" w:type="dxa"/>
            <w:vAlign w:val="bottom"/>
          </w:tcPr>
          <w:p>
            <w:pPr>
              <w:spacing w:after="0"/>
              <w:rPr>
                <w:sz w:val="24"/>
                <w:szCs w:val="24"/>
                <w:color w:val="auto"/>
              </w:rPr>
            </w:pPr>
          </w:p>
        </w:tc>
      </w:tr>
      <w:tr>
        <w:trPr>
          <w:trHeight w:val="234"/>
        </w:trPr>
        <w:tc>
          <w:tcPr>
            <w:tcW w:w="1160" w:type="dxa"/>
            <w:vAlign w:val="bottom"/>
          </w:tcPr>
          <w:p>
            <w:pPr>
              <w:spacing w:after="0"/>
              <w:rPr>
                <w:sz w:val="20"/>
                <w:szCs w:val="20"/>
                <w:color w:val="auto"/>
              </w:rPr>
            </w:pPr>
          </w:p>
        </w:tc>
        <w:tc>
          <w:tcPr>
            <w:tcW w:w="8500" w:type="dxa"/>
            <w:vAlign w:val="bottom"/>
          </w:tcPr>
          <w:p>
            <w:pPr>
              <w:jc w:val="center"/>
              <w:ind w:left="990"/>
              <w:spacing w:after="0"/>
              <w:rPr>
                <w:sz w:val="20"/>
                <w:szCs w:val="20"/>
                <w:color w:val="auto"/>
              </w:rPr>
            </w:pPr>
            <w:r>
              <w:rPr>
                <w:rFonts w:ascii="Times New Roman" w:cs="Times New Roman" w:eastAsia="Times New Roman" w:hAnsi="Times New Roman"/>
                <w:sz w:val="18"/>
                <w:szCs w:val="18"/>
                <w:color w:val="auto"/>
              </w:rPr>
              <w:t>O</w:t>
            </w:r>
            <w:r>
              <w:rPr>
                <w:rFonts w:ascii="Times New Roman" w:cs="Times New Roman" w:eastAsia="Times New Roman" w:hAnsi="Times New Roman"/>
                <w:sz w:val="14"/>
                <w:szCs w:val="14"/>
                <w:color w:val="auto"/>
              </w:rPr>
              <w:t>PTIONAL</w:t>
            </w:r>
            <w:r>
              <w:rPr>
                <w:rFonts w:ascii="Times New Roman" w:cs="Times New Roman" w:eastAsia="Times New Roman" w:hAnsi="Times New Roman"/>
                <w:sz w:val="18"/>
                <w:szCs w:val="18"/>
                <w:color w:val="auto"/>
              </w:rPr>
              <w:t xml:space="preserve"> R</w:t>
            </w:r>
            <w:r>
              <w:rPr>
                <w:rFonts w:ascii="Times New Roman" w:cs="Times New Roman" w:eastAsia="Times New Roman" w:hAnsi="Times New Roman"/>
                <w:sz w:val="14"/>
                <w:szCs w:val="14"/>
                <w:color w:val="auto"/>
              </w:rPr>
              <w:t>EDEMPTION</w:t>
            </w:r>
          </w:p>
        </w:tc>
        <w:tc>
          <w:tcPr>
            <w:tcW w:w="1300" w:type="dxa"/>
            <w:vAlign w:val="bottom"/>
          </w:tcPr>
          <w:p>
            <w:pPr>
              <w:spacing w:after="0"/>
              <w:rPr>
                <w:sz w:val="20"/>
                <w:szCs w:val="20"/>
                <w:color w:val="auto"/>
              </w:rPr>
            </w:pPr>
          </w:p>
        </w:tc>
      </w:tr>
      <w:tr>
        <w:trPr>
          <w:trHeight w:val="304"/>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16.01.</w:t>
            </w:r>
          </w:p>
        </w:tc>
        <w:tc>
          <w:tcPr>
            <w:tcW w:w="850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Optional Redemption</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89</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16.02.   </w:t>
            </w:r>
            <w:r>
              <w:rPr>
                <w:rFonts w:ascii="Times New Roman" w:cs="Times New Roman" w:eastAsia="Times New Roman" w:hAnsi="Times New Roman"/>
                <w:sz w:val="18"/>
                <w:szCs w:val="18"/>
                <w:i w:val="1"/>
                <w:iCs w:val="1"/>
                <w:color w:val="auto"/>
              </w:rPr>
              <w:t>Notice of Optional Redemption; Selection of Notes</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89</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16.03.   </w:t>
            </w:r>
            <w:r>
              <w:rPr>
                <w:rFonts w:ascii="Times New Roman" w:cs="Times New Roman" w:eastAsia="Times New Roman" w:hAnsi="Times New Roman"/>
                <w:sz w:val="18"/>
                <w:szCs w:val="18"/>
                <w:i w:val="1"/>
                <w:iCs w:val="1"/>
                <w:color w:val="auto"/>
              </w:rPr>
              <w:t>Payment of Notes Called for Redemption</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90</w:t>
            </w:r>
          </w:p>
        </w:tc>
      </w:tr>
      <w:tr>
        <w:trPr>
          <w:trHeight w:val="23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16.04.   </w:t>
            </w:r>
            <w:r>
              <w:rPr>
                <w:rFonts w:ascii="Times New Roman" w:cs="Times New Roman" w:eastAsia="Times New Roman" w:hAnsi="Times New Roman"/>
                <w:sz w:val="18"/>
                <w:szCs w:val="18"/>
                <w:i w:val="1"/>
                <w:iCs w:val="1"/>
                <w:color w:val="auto"/>
              </w:rPr>
              <w:t>Restrictions on Redemption</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91</w:t>
            </w:r>
          </w:p>
        </w:tc>
      </w:tr>
      <w:tr>
        <w:trPr>
          <w:trHeight w:val="306"/>
        </w:trPr>
        <w:tc>
          <w:tcPr>
            <w:tcW w:w="1160" w:type="dxa"/>
            <w:vAlign w:val="bottom"/>
          </w:tcPr>
          <w:p>
            <w:pPr>
              <w:spacing w:after="0"/>
              <w:rPr>
                <w:sz w:val="24"/>
                <w:szCs w:val="24"/>
                <w:color w:val="auto"/>
              </w:rPr>
            </w:pPr>
          </w:p>
        </w:tc>
        <w:tc>
          <w:tcPr>
            <w:tcW w:w="8500" w:type="dxa"/>
            <w:vAlign w:val="bottom"/>
          </w:tcPr>
          <w:p>
            <w:pPr>
              <w:jc w:val="center"/>
              <w:ind w:left="990"/>
              <w:spacing w:after="0"/>
              <w:rPr>
                <w:sz w:val="20"/>
                <w:szCs w:val="20"/>
                <w:color w:val="auto"/>
              </w:rPr>
            </w:pPr>
            <w:r>
              <w:rPr>
                <w:rFonts w:ascii="Times New Roman" w:cs="Times New Roman" w:eastAsia="Times New Roman" w:hAnsi="Times New Roman"/>
                <w:sz w:val="18"/>
                <w:szCs w:val="18"/>
                <w:color w:val="auto"/>
                <w:w w:val="99"/>
              </w:rPr>
              <w:t>ARTICLE 17</w:t>
            </w:r>
          </w:p>
        </w:tc>
        <w:tc>
          <w:tcPr>
            <w:tcW w:w="1300" w:type="dxa"/>
            <w:vAlign w:val="bottom"/>
          </w:tcPr>
          <w:p>
            <w:pPr>
              <w:spacing w:after="0"/>
              <w:rPr>
                <w:sz w:val="24"/>
                <w:szCs w:val="24"/>
                <w:color w:val="auto"/>
              </w:rPr>
            </w:pPr>
          </w:p>
        </w:tc>
      </w:tr>
      <w:tr>
        <w:trPr>
          <w:trHeight w:val="234"/>
        </w:trPr>
        <w:tc>
          <w:tcPr>
            <w:tcW w:w="1160" w:type="dxa"/>
            <w:vAlign w:val="bottom"/>
          </w:tcPr>
          <w:p>
            <w:pPr>
              <w:spacing w:after="0"/>
              <w:rPr>
                <w:sz w:val="20"/>
                <w:szCs w:val="20"/>
                <w:color w:val="auto"/>
              </w:rPr>
            </w:pPr>
          </w:p>
        </w:tc>
        <w:tc>
          <w:tcPr>
            <w:tcW w:w="8500" w:type="dxa"/>
            <w:vAlign w:val="bottom"/>
          </w:tcPr>
          <w:p>
            <w:pPr>
              <w:jc w:val="center"/>
              <w:ind w:left="990"/>
              <w:spacing w:after="0"/>
              <w:rPr>
                <w:sz w:val="20"/>
                <w:szCs w:val="20"/>
                <w:color w:val="auto"/>
              </w:rPr>
            </w:pPr>
            <w:r>
              <w:rPr>
                <w:rFonts w:ascii="Times New Roman" w:cs="Times New Roman" w:eastAsia="Times New Roman" w:hAnsi="Times New Roman"/>
                <w:sz w:val="18"/>
                <w:szCs w:val="18"/>
                <w:color w:val="auto"/>
              </w:rPr>
              <w:t>M</w:t>
            </w:r>
            <w:r>
              <w:rPr>
                <w:rFonts w:ascii="Times New Roman" w:cs="Times New Roman" w:eastAsia="Times New Roman" w:hAnsi="Times New Roman"/>
                <w:sz w:val="14"/>
                <w:szCs w:val="14"/>
                <w:color w:val="auto"/>
              </w:rPr>
              <w:t>ISCELLANEOUS</w:t>
            </w:r>
            <w:r>
              <w:rPr>
                <w:rFonts w:ascii="Times New Roman" w:cs="Times New Roman" w:eastAsia="Times New Roman" w:hAnsi="Times New Roman"/>
                <w:sz w:val="18"/>
                <w:szCs w:val="18"/>
                <w:color w:val="auto"/>
              </w:rPr>
              <w:t xml:space="preserve"> P</w:t>
            </w:r>
            <w:r>
              <w:rPr>
                <w:rFonts w:ascii="Times New Roman" w:cs="Times New Roman" w:eastAsia="Times New Roman" w:hAnsi="Times New Roman"/>
                <w:sz w:val="14"/>
                <w:szCs w:val="14"/>
                <w:color w:val="auto"/>
              </w:rPr>
              <w:t>ROVISIONS</w:t>
            </w:r>
          </w:p>
        </w:tc>
        <w:tc>
          <w:tcPr>
            <w:tcW w:w="1300" w:type="dxa"/>
            <w:vAlign w:val="bottom"/>
          </w:tcPr>
          <w:p>
            <w:pPr>
              <w:spacing w:after="0"/>
              <w:rPr>
                <w:sz w:val="20"/>
                <w:szCs w:val="20"/>
                <w:color w:val="auto"/>
              </w:rPr>
            </w:pPr>
          </w:p>
        </w:tc>
      </w:tr>
      <w:tr>
        <w:trPr>
          <w:trHeight w:val="304"/>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Section 17.01</w:t>
            </w:r>
            <w:r>
              <w:rPr>
                <w:rFonts w:ascii="Times New Roman" w:cs="Times New Roman" w:eastAsia="Times New Roman" w:hAnsi="Times New Roman"/>
                <w:sz w:val="18"/>
                <w:szCs w:val="18"/>
                <w:i w:val="1"/>
                <w:iCs w:val="1"/>
                <w:color w:val="auto"/>
              </w:rPr>
              <w:t>.   Provisions Binding on Company’s Successors</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91</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Section 17.02</w:t>
            </w:r>
            <w:r>
              <w:rPr>
                <w:rFonts w:ascii="Times New Roman" w:cs="Times New Roman" w:eastAsia="Times New Roman" w:hAnsi="Times New Roman"/>
                <w:sz w:val="18"/>
                <w:szCs w:val="18"/>
                <w:i w:val="1"/>
                <w:iCs w:val="1"/>
                <w:color w:val="auto"/>
              </w:rPr>
              <w:t>.   Official Acts by Successor Corporation</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91</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Section 17.03</w:t>
            </w:r>
            <w:r>
              <w:rPr>
                <w:rFonts w:ascii="Times New Roman" w:cs="Times New Roman" w:eastAsia="Times New Roman" w:hAnsi="Times New Roman"/>
                <w:sz w:val="18"/>
                <w:szCs w:val="18"/>
                <w:i w:val="1"/>
                <w:iCs w:val="1"/>
                <w:color w:val="auto"/>
              </w:rPr>
              <w:t>.   Addresses for Notices, Etc</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91</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Section 17.04</w:t>
            </w:r>
            <w:r>
              <w:rPr>
                <w:rFonts w:ascii="Times New Roman" w:cs="Times New Roman" w:eastAsia="Times New Roman" w:hAnsi="Times New Roman"/>
                <w:sz w:val="18"/>
                <w:szCs w:val="18"/>
                <w:i w:val="1"/>
                <w:iCs w:val="1"/>
                <w:color w:val="auto"/>
              </w:rPr>
              <w:t>.   Governing Law; Jurisdiction</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92</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Section 17.05</w:t>
            </w:r>
            <w:r>
              <w:rPr>
                <w:rFonts w:ascii="Times New Roman" w:cs="Times New Roman" w:eastAsia="Times New Roman" w:hAnsi="Times New Roman"/>
                <w:sz w:val="18"/>
                <w:szCs w:val="18"/>
                <w:i w:val="1"/>
                <w:iCs w:val="1"/>
                <w:color w:val="auto"/>
              </w:rPr>
              <w:t>.   Evidence of Compliance with Conditions Precedent; Certificates and Opinions of Counsel to Trustee</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93</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17.06</w:t>
            </w:r>
            <w:r>
              <w:rPr>
                <w:rFonts w:ascii="Times New Roman" w:cs="Times New Roman" w:eastAsia="Times New Roman" w:hAnsi="Times New Roman"/>
                <w:sz w:val="18"/>
                <w:szCs w:val="18"/>
                <w:i w:val="1"/>
                <w:iCs w:val="1"/>
                <w:color w:val="auto"/>
              </w:rPr>
              <w:t>.</w:t>
            </w:r>
          </w:p>
        </w:tc>
        <w:tc>
          <w:tcPr>
            <w:tcW w:w="850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Legal Holidays</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93</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Section 17.07</w:t>
            </w:r>
            <w:r>
              <w:rPr>
                <w:rFonts w:ascii="Times New Roman" w:cs="Times New Roman" w:eastAsia="Times New Roman" w:hAnsi="Times New Roman"/>
                <w:sz w:val="18"/>
                <w:szCs w:val="18"/>
                <w:i w:val="1"/>
                <w:iCs w:val="1"/>
                <w:color w:val="auto"/>
              </w:rPr>
              <w:t>.   No Security Interest Created</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93</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Section 17.08</w:t>
            </w:r>
            <w:r>
              <w:rPr>
                <w:rFonts w:ascii="Times New Roman" w:cs="Times New Roman" w:eastAsia="Times New Roman" w:hAnsi="Times New Roman"/>
                <w:sz w:val="18"/>
                <w:szCs w:val="18"/>
                <w:i w:val="1"/>
                <w:iCs w:val="1"/>
                <w:color w:val="auto"/>
              </w:rPr>
              <w:t>.   Benefits of Indenture</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93</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Section 17.09</w:t>
            </w:r>
            <w:r>
              <w:rPr>
                <w:rFonts w:ascii="Times New Roman" w:cs="Times New Roman" w:eastAsia="Times New Roman" w:hAnsi="Times New Roman"/>
                <w:sz w:val="18"/>
                <w:szCs w:val="18"/>
                <w:i w:val="1"/>
                <w:iCs w:val="1"/>
                <w:color w:val="auto"/>
              </w:rPr>
              <w:t>.   Table of Contents, Headings, Etc.</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94</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17.10</w:t>
            </w:r>
            <w:r>
              <w:rPr>
                <w:rFonts w:ascii="Times New Roman" w:cs="Times New Roman" w:eastAsia="Times New Roman" w:hAnsi="Times New Roman"/>
                <w:sz w:val="18"/>
                <w:szCs w:val="18"/>
                <w:i w:val="1"/>
                <w:iCs w:val="1"/>
                <w:color w:val="auto"/>
              </w:rPr>
              <w:t>.</w:t>
            </w:r>
          </w:p>
        </w:tc>
        <w:tc>
          <w:tcPr>
            <w:tcW w:w="850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Authenticating Agent</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94</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Section 17.11</w:t>
            </w:r>
            <w:r>
              <w:rPr>
                <w:rFonts w:ascii="Times New Roman" w:cs="Times New Roman" w:eastAsia="Times New Roman" w:hAnsi="Times New Roman"/>
                <w:sz w:val="18"/>
                <w:szCs w:val="18"/>
                <w:i w:val="1"/>
                <w:iCs w:val="1"/>
                <w:color w:val="auto"/>
              </w:rPr>
              <w:t>.   Execution in Counterparts</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95</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17.12</w:t>
            </w:r>
            <w:r>
              <w:rPr>
                <w:rFonts w:ascii="Times New Roman" w:cs="Times New Roman" w:eastAsia="Times New Roman" w:hAnsi="Times New Roman"/>
                <w:sz w:val="18"/>
                <w:szCs w:val="18"/>
                <w:i w:val="1"/>
                <w:iCs w:val="1"/>
                <w:color w:val="auto"/>
              </w:rPr>
              <w:t>.</w:t>
            </w:r>
          </w:p>
        </w:tc>
        <w:tc>
          <w:tcPr>
            <w:tcW w:w="850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Severability</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95</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Section 17.13</w:t>
            </w:r>
            <w:r>
              <w:rPr>
                <w:rFonts w:ascii="Times New Roman" w:cs="Times New Roman" w:eastAsia="Times New Roman" w:hAnsi="Times New Roman"/>
                <w:sz w:val="18"/>
                <w:szCs w:val="18"/>
                <w:i w:val="1"/>
                <w:iCs w:val="1"/>
                <w:color w:val="auto"/>
              </w:rPr>
              <w:t>.   Waiver of Jury Trial</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95</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17.14</w:t>
            </w:r>
            <w:r>
              <w:rPr>
                <w:rFonts w:ascii="Times New Roman" w:cs="Times New Roman" w:eastAsia="Times New Roman" w:hAnsi="Times New Roman"/>
                <w:sz w:val="18"/>
                <w:szCs w:val="18"/>
                <w:i w:val="1"/>
                <w:iCs w:val="1"/>
                <w:color w:val="auto"/>
              </w:rPr>
              <w:t>.</w:t>
            </w:r>
          </w:p>
        </w:tc>
        <w:tc>
          <w:tcPr>
            <w:tcW w:w="850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Force Majeure</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95</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17.15</w:t>
            </w:r>
            <w:r>
              <w:rPr>
                <w:rFonts w:ascii="Times New Roman" w:cs="Times New Roman" w:eastAsia="Times New Roman" w:hAnsi="Times New Roman"/>
                <w:sz w:val="18"/>
                <w:szCs w:val="18"/>
                <w:i w:val="1"/>
                <w:iCs w:val="1"/>
                <w:color w:val="auto"/>
              </w:rPr>
              <w:t>.</w:t>
            </w:r>
          </w:p>
        </w:tc>
        <w:tc>
          <w:tcPr>
            <w:tcW w:w="850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Calculations</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95</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17.16.   </w:t>
            </w:r>
            <w:r>
              <w:rPr>
                <w:rFonts w:ascii="Times New Roman" w:cs="Times New Roman" w:eastAsia="Times New Roman" w:hAnsi="Times New Roman"/>
                <w:sz w:val="18"/>
                <w:szCs w:val="18"/>
                <w:i w:val="1"/>
                <w:iCs w:val="1"/>
                <w:color w:val="auto"/>
              </w:rPr>
              <w:t>USA PATRIOT Act</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96</w:t>
            </w:r>
          </w:p>
        </w:tc>
      </w:tr>
      <w:tr>
        <w:trPr>
          <w:trHeight w:val="23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17.17</w:t>
            </w:r>
            <w:r>
              <w:rPr>
                <w:rFonts w:ascii="Times New Roman" w:cs="Times New Roman" w:eastAsia="Times New Roman" w:hAnsi="Times New Roman"/>
                <w:sz w:val="18"/>
                <w:szCs w:val="18"/>
                <w:i w:val="1"/>
                <w:iCs w:val="1"/>
                <w:color w:val="auto"/>
              </w:rPr>
              <w:t>.</w:t>
            </w:r>
          </w:p>
        </w:tc>
        <w:tc>
          <w:tcPr>
            <w:tcW w:w="850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Tax Withholding</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96</w:t>
            </w:r>
          </w:p>
        </w:tc>
      </w:tr>
    </w:tbl>
    <w:p>
      <w:pPr>
        <w:spacing w:after="0" w:line="130" w:lineRule="exact"/>
        <w:rPr>
          <w:sz w:val="20"/>
          <w:szCs w:val="20"/>
          <w:color w:val="auto"/>
        </w:rPr>
      </w:pPr>
      <w:r>
        <w:rPr>
          <w:sz w:val="20"/>
          <w:szCs w:val="20"/>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extLst>
                    </a:blip>
                    <a:srcRect/>
                    <a:stretch>
                      <a:fillRect/>
                    </a:stretch>
                  </pic:blipFill>
                  <pic:spPr bwMode="auto">
                    <a:xfrm>
                      <a:off x="0" y="0"/>
                      <a:ext cx="7174865" cy="38100"/>
                    </a:xfrm>
                    <a:prstGeom prst="rect">
                      <a:avLst/>
                    </a:prstGeom>
                    <a:noFill/>
                  </pic:spPr>
                </pic:pic>
              </a:graphicData>
            </a:graphic>
          </wp:anchor>
        </w:drawing>
      </w:r>
    </w:p>
    <w:p>
      <w:pPr>
        <w:jc w:val="center"/>
        <w:ind w:right="-39"/>
        <w:spacing w:after="0"/>
        <w:rPr>
          <w:sz w:val="20"/>
          <w:szCs w:val="20"/>
          <w:color w:val="auto"/>
        </w:rPr>
      </w:pPr>
      <w:r>
        <w:rPr>
          <w:rFonts w:ascii="Times New Roman" w:cs="Times New Roman" w:eastAsia="Times New Roman" w:hAnsi="Times New Roman"/>
          <w:sz w:val="18"/>
          <w:szCs w:val="18"/>
          <w:color w:val="auto"/>
        </w:rPr>
        <w:t>iv</w:t>
      </w:r>
    </w:p>
    <w:p>
      <w:pPr>
        <w:sectPr>
          <w:pgSz w:w="11900" w:h="16838" w:orient="portrait"/>
          <w:cols w:equalWidth="0" w:num="1">
            <w:col w:w="10960"/>
          </w:cols>
          <w:pgMar w:left="440" w:top="268" w:right="499" w:bottom="1440" w:gutter="0" w:footer="0" w:header="0"/>
        </w:sectPr>
      </w:pPr>
    </w:p>
    <w:bookmarkStart w:id="10" w:name="page11"/>
    <w:bookmarkEnd w:id="10"/>
    <w:p>
      <w:pPr>
        <w:jc w:val="cente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EXHIBIT</w:t>
      </w:r>
    </w:p>
    <w:p>
      <w:pPr>
        <w:spacing w:after="0" w:line="135" w:lineRule="exact"/>
        <w:rPr>
          <w:sz w:val="20"/>
          <w:szCs w:val="20"/>
          <w:color w:val="auto"/>
        </w:rPr>
      </w:pPr>
    </w:p>
    <w:p>
      <w:pPr>
        <w:spacing w:after="0"/>
        <w:tabs>
          <w:tab w:leader="none" w:pos="1100" w:val="left"/>
          <w:tab w:leader="none" w:pos="10720" w:val="left"/>
        </w:tabs>
        <w:rPr>
          <w:sz w:val="20"/>
          <w:szCs w:val="20"/>
          <w:color w:val="auto"/>
        </w:rPr>
      </w:pPr>
      <w:r>
        <w:rPr>
          <w:rFonts w:ascii="Times New Roman" w:cs="Times New Roman" w:eastAsia="Times New Roman" w:hAnsi="Times New Roman"/>
          <w:sz w:val="18"/>
          <w:szCs w:val="18"/>
          <w:color w:val="auto"/>
        </w:rPr>
        <w:t>Exhibit A</w:t>
      </w:r>
      <w:r>
        <w:rPr>
          <w:sz w:val="20"/>
          <w:szCs w:val="20"/>
          <w:color w:val="auto"/>
        </w:rPr>
        <w:tab/>
      </w:r>
      <w:r>
        <w:rPr>
          <w:rFonts w:ascii="Times New Roman" w:cs="Times New Roman" w:eastAsia="Times New Roman" w:hAnsi="Times New Roman"/>
          <w:sz w:val="18"/>
          <w:szCs w:val="18"/>
          <w:color w:val="auto"/>
        </w:rPr>
        <w:t>Form of Note</w:t>
      </w:r>
      <w:r>
        <w:rPr>
          <w:sz w:val="20"/>
          <w:szCs w:val="20"/>
          <w:color w:val="auto"/>
        </w:rPr>
        <w:tab/>
      </w:r>
      <w:r>
        <w:rPr>
          <w:rFonts w:ascii="Times New Roman" w:cs="Times New Roman" w:eastAsia="Times New Roman" w:hAnsi="Times New Roman"/>
          <w:sz w:val="17"/>
          <w:szCs w:val="17"/>
          <w:color w:val="auto"/>
        </w:rPr>
        <w:t>A-1</w:t>
      </w:r>
    </w:p>
    <w:p>
      <w:pPr>
        <w:spacing w:after="0" w:line="15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v</w:t>
      </w:r>
    </w:p>
    <w:p>
      <w:pPr>
        <w:sectPr>
          <w:pgSz w:w="11900" w:h="16838" w:orient="portrait"/>
          <w:cols w:equalWidth="0" w:num="1">
            <w:col w:w="11020"/>
          </w:cols>
          <w:pgMar w:left="440" w:top="266" w:right="439" w:bottom="1440" w:gutter="0" w:footer="0" w:header="0"/>
        </w:sectPr>
      </w:pPr>
    </w:p>
    <w:bookmarkStart w:id="11" w:name="page12"/>
    <w:bookmarkEnd w:id="11"/>
    <w:p>
      <w:pPr>
        <w:jc w:val="both"/>
        <w:ind w:right="40" w:firstLine="440"/>
        <w:spacing w:after="0" w:line="26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INDENTURE dated as of June 17, 2024 between MICROSTRATEGY INCORPORATED, a Delaware corporation, as issuer (the “</w:t>
      </w:r>
      <w:r>
        <w:rPr>
          <w:rFonts w:ascii="Times New Roman" w:cs="Times New Roman" w:eastAsia="Times New Roman" w:hAnsi="Times New Roman"/>
          <w:sz w:val="18"/>
          <w:szCs w:val="18"/>
          <w:b w:val="1"/>
          <w:bCs w:val="1"/>
          <w:color w:val="auto"/>
        </w:rPr>
        <w:t>Company</w:t>
      </w:r>
      <w:r>
        <w:rPr>
          <w:rFonts w:ascii="Times New Roman" w:cs="Times New Roman" w:eastAsia="Times New Roman" w:hAnsi="Times New Roman"/>
          <w:sz w:val="18"/>
          <w:szCs w:val="18"/>
          <w:color w:val="auto"/>
        </w:rPr>
        <w:t>,” as more fully set forth in Section 1.01) and U.S. BANK TRUST COMPANY, NATIONAL ASSOCIATION, a national banking association, as trustee (the “</w:t>
      </w:r>
      <w:r>
        <w:rPr>
          <w:rFonts w:ascii="Times New Roman" w:cs="Times New Roman" w:eastAsia="Times New Roman" w:hAnsi="Times New Roman"/>
          <w:sz w:val="18"/>
          <w:szCs w:val="18"/>
          <w:b w:val="1"/>
          <w:bCs w:val="1"/>
          <w:color w:val="auto"/>
        </w:rPr>
        <w:t>Trustee</w:t>
      </w:r>
      <w:r>
        <w:rPr>
          <w:rFonts w:ascii="Times New Roman" w:cs="Times New Roman" w:eastAsia="Times New Roman" w:hAnsi="Times New Roman"/>
          <w:sz w:val="18"/>
          <w:szCs w:val="18"/>
          <w:color w:val="auto"/>
        </w:rPr>
        <w:t>,” as more fully set forth in Section 1.01).</w:t>
      </w:r>
    </w:p>
    <w:p>
      <w:pPr>
        <w:spacing w:after="0" w:line="175"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W I T N E S S E T H:</w:t>
      </w:r>
    </w:p>
    <w:p>
      <w:pPr>
        <w:spacing w:after="0" w:line="225" w:lineRule="exact"/>
        <w:rPr>
          <w:sz w:val="20"/>
          <w:szCs w:val="20"/>
          <w:color w:val="auto"/>
        </w:rPr>
      </w:pPr>
    </w:p>
    <w:p>
      <w:pPr>
        <w:ind w:firstLine="440"/>
        <w:spacing w:after="0" w:line="258" w:lineRule="auto"/>
        <w:rPr>
          <w:sz w:val="20"/>
          <w:szCs w:val="20"/>
          <w:color w:val="auto"/>
        </w:rPr>
      </w:pPr>
      <w:r>
        <w:rPr>
          <w:rFonts w:ascii="Times New Roman" w:cs="Times New Roman" w:eastAsia="Times New Roman" w:hAnsi="Times New Roman"/>
          <w:sz w:val="18"/>
          <w:szCs w:val="18"/>
          <w:color w:val="auto"/>
        </w:rPr>
        <w:t>WHEREAS, for its lawful corporate purposes, the Company has duly authorized the issuance of its 2.25% Convertible Senior Notes due 2032 (the “</w:t>
      </w:r>
      <w:r>
        <w:rPr>
          <w:rFonts w:ascii="Times New Roman" w:cs="Times New Roman" w:eastAsia="Times New Roman" w:hAnsi="Times New Roman"/>
          <w:sz w:val="18"/>
          <w:szCs w:val="18"/>
          <w:b w:val="1"/>
          <w:bCs w:val="1"/>
          <w:color w:val="auto"/>
        </w:rPr>
        <w:t>Notes</w:t>
      </w:r>
      <w:r>
        <w:rPr>
          <w:rFonts w:ascii="Times New Roman" w:cs="Times New Roman" w:eastAsia="Times New Roman" w:hAnsi="Times New Roman"/>
          <w:sz w:val="18"/>
          <w:szCs w:val="18"/>
          <w:color w:val="auto"/>
        </w:rPr>
        <w:t>”), initially in an aggregate principal amount not to exceed $700,000,000 (as increased by an amount equal to the aggregate principal amount of any additional Notes purchased by the Initial Purchasers pursuant to the exercise of their option to purchase additional Notes as set forth in the Purchase Agreement), and in order to provide the terms and conditions upon which the Notes are to be authenticated, issued and delivered, the Company has duly authorized the execution and delivery of this Indenture; and</w:t>
      </w:r>
    </w:p>
    <w:p>
      <w:pPr>
        <w:spacing w:after="0" w:line="183" w:lineRule="exact"/>
        <w:rPr>
          <w:sz w:val="20"/>
          <w:szCs w:val="20"/>
          <w:color w:val="auto"/>
        </w:rPr>
      </w:pPr>
    </w:p>
    <w:p>
      <w:pPr>
        <w:jc w:val="both"/>
        <w:ind w:right="660" w:firstLine="440"/>
        <w:spacing w:after="0" w:line="266" w:lineRule="auto"/>
        <w:rPr>
          <w:sz w:val="20"/>
          <w:szCs w:val="20"/>
          <w:color w:val="auto"/>
        </w:rPr>
      </w:pPr>
      <w:r>
        <w:rPr>
          <w:rFonts w:ascii="Times New Roman" w:cs="Times New Roman" w:eastAsia="Times New Roman" w:hAnsi="Times New Roman"/>
          <w:sz w:val="18"/>
          <w:szCs w:val="18"/>
          <w:color w:val="auto"/>
        </w:rPr>
        <w:t>WHEREAS, the Form of Note, the certificate of authentication to be borne by each Note, the Form of Notice of Conversion, the Form of Fundamental Change Repurchase Notice and the Form of Assignment and Transfer to be borne by the Notes are to be substantially in the forms hereinafter provided; and</w:t>
      </w:r>
    </w:p>
    <w:p>
      <w:pPr>
        <w:spacing w:after="0" w:line="176" w:lineRule="exact"/>
        <w:rPr>
          <w:sz w:val="20"/>
          <w:szCs w:val="20"/>
          <w:color w:val="auto"/>
        </w:rPr>
      </w:pPr>
    </w:p>
    <w:p>
      <w:pPr>
        <w:ind w:right="40" w:firstLine="440"/>
        <w:spacing w:after="0" w:line="261" w:lineRule="auto"/>
        <w:rPr>
          <w:sz w:val="20"/>
          <w:szCs w:val="20"/>
          <w:color w:val="auto"/>
        </w:rPr>
      </w:pPr>
      <w:r>
        <w:rPr>
          <w:rFonts w:ascii="Times New Roman" w:cs="Times New Roman" w:eastAsia="Times New Roman" w:hAnsi="Times New Roman"/>
          <w:sz w:val="18"/>
          <w:szCs w:val="18"/>
          <w:color w:val="auto"/>
        </w:rPr>
        <w:t>WHEREAS, all acts and things necessary to make the Notes, when executed by the Company and authenticated and delivered by the Trustee or a duly authorized authenticating agent, as provided in this Indenture, the valid, binding and legal obligations of the Company, and this Indenture a valid agreement according to its terms, have been done and performed, and the execution of this Indenture and the issuance hereunder of the Notes have in all respects been duly authorized.</w:t>
      </w:r>
    </w:p>
    <w:p>
      <w:pPr>
        <w:spacing w:after="0" w:line="180"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NOW, THEREFORE, THIS INDENTURE WITNESSETH:</w:t>
      </w:r>
    </w:p>
    <w:p>
      <w:pPr>
        <w:spacing w:after="0" w:line="225" w:lineRule="exact"/>
        <w:rPr>
          <w:sz w:val="20"/>
          <w:szCs w:val="20"/>
          <w:color w:val="auto"/>
        </w:rPr>
      </w:pPr>
    </w:p>
    <w:p>
      <w:pPr>
        <w:ind w:right="20" w:firstLine="440"/>
        <w:spacing w:after="0" w:line="289" w:lineRule="auto"/>
        <w:rPr>
          <w:sz w:val="20"/>
          <w:szCs w:val="20"/>
          <w:color w:val="auto"/>
        </w:rPr>
      </w:pPr>
      <w:r>
        <w:rPr>
          <w:rFonts w:ascii="Times New Roman" w:cs="Times New Roman" w:eastAsia="Times New Roman" w:hAnsi="Times New Roman"/>
          <w:sz w:val="17"/>
          <w:szCs w:val="17"/>
          <w:color w:val="auto"/>
        </w:rPr>
        <w:t>That in order to declare the terms and conditions upon which the Notes are, and are to be, authenticated, issued and delivered, and in consideration of the premises and of the purchase and acceptance of the Notes by the Holders thereof, the Company covenants and agrees with the Trustee for the equal and proportionate benefit of the respective Holders from time to time of the Notes (except as otherwise provided below), as follows:</w:t>
      </w:r>
    </w:p>
    <w:p>
      <w:pPr>
        <w:spacing w:after="0" w:line="158"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ARTICLE 1</w:t>
      </w:r>
    </w:p>
    <w:p>
      <w:pPr>
        <w:spacing w:after="0" w:line="2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D</w:t>
      </w:r>
      <w:r>
        <w:rPr>
          <w:rFonts w:ascii="Times New Roman" w:cs="Times New Roman" w:eastAsia="Times New Roman" w:hAnsi="Times New Roman"/>
          <w:sz w:val="14"/>
          <w:szCs w:val="14"/>
          <w:color w:val="auto"/>
        </w:rPr>
        <w:t>EFINITIONS</w:t>
      </w:r>
    </w:p>
    <w:p>
      <w:pPr>
        <w:spacing w:after="0" w:line="205" w:lineRule="exact"/>
        <w:rPr>
          <w:sz w:val="20"/>
          <w:szCs w:val="20"/>
          <w:color w:val="auto"/>
        </w:rPr>
      </w:pPr>
    </w:p>
    <w:p>
      <w:pPr>
        <w:jc w:val="both"/>
        <w:ind w:right="220" w:firstLine="440"/>
        <w:spacing w:after="0" w:line="261" w:lineRule="auto"/>
        <w:rPr>
          <w:sz w:val="20"/>
          <w:szCs w:val="20"/>
          <w:color w:val="auto"/>
        </w:rPr>
      </w:pPr>
      <w:r>
        <w:rPr>
          <w:rFonts w:ascii="Times New Roman" w:cs="Times New Roman" w:eastAsia="Times New Roman" w:hAnsi="Times New Roman"/>
          <w:sz w:val="18"/>
          <w:szCs w:val="18"/>
          <w:color w:val="auto"/>
        </w:rPr>
        <w:t>Section 1.01</w:t>
      </w:r>
      <w:r>
        <w:rPr>
          <w:rFonts w:ascii="Times New Roman" w:cs="Times New Roman" w:eastAsia="Times New Roman" w:hAnsi="Times New Roman"/>
          <w:sz w:val="18"/>
          <w:szCs w:val="18"/>
          <w:i w:val="1"/>
          <w:iCs w:val="1"/>
          <w:color w:val="auto"/>
        </w:rPr>
        <w:t>. Definitions.</w:t>
      </w:r>
      <w:r>
        <w:rPr>
          <w:rFonts w:ascii="Times New Roman" w:cs="Times New Roman" w:eastAsia="Times New Roman" w:hAnsi="Times New Roman"/>
          <w:sz w:val="18"/>
          <w:szCs w:val="18"/>
          <w:color w:val="auto"/>
        </w:rPr>
        <w:t xml:space="preserve"> The terms defined in this Section 1.01 (except as herein otherwise expressly provided or unless the context otherwise requires) for all purposes of this Indenture and of any indenture supplemental hereto shall have the respective meanings specified in this Section 1.01. The words “herein,” “hereof,” “hereunder” and words of similar import refer to this Indenture as a whole and not to any particular Article, Section or other subdivision. The terms defined in this Article include the plural as well as the singular.</w:t>
      </w:r>
    </w:p>
    <w:p>
      <w:pPr>
        <w:spacing w:after="0" w:line="114"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1</w:t>
      </w:r>
    </w:p>
    <w:p>
      <w:pPr>
        <w:sectPr>
          <w:pgSz w:w="11900" w:h="16838" w:orient="portrait"/>
          <w:cols w:equalWidth="0" w:num="1">
            <w:col w:w="11000"/>
          </w:cols>
          <w:pgMar w:left="440" w:top="266" w:right="459" w:bottom="1440" w:gutter="0" w:footer="0" w:header="0"/>
        </w:sectPr>
      </w:pPr>
    </w:p>
    <w:bookmarkStart w:id="12" w:name="page13"/>
    <w:bookmarkEnd w:id="12"/>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Additional Interest</w:t>
      </w:r>
      <w:r>
        <w:rPr>
          <w:rFonts w:ascii="Times New Roman" w:cs="Times New Roman" w:eastAsia="Times New Roman" w:hAnsi="Times New Roman"/>
          <w:sz w:val="18"/>
          <w:szCs w:val="18"/>
          <w:color w:val="auto"/>
        </w:rPr>
        <w:t>” means all amounts, if any, payable pursuant to Section 4.06(d), Section 4.06(e) and Section 6.03, as applicable.</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Additional Shares</w:t>
      </w:r>
      <w:r>
        <w:rPr>
          <w:rFonts w:ascii="Times New Roman" w:cs="Times New Roman" w:eastAsia="Times New Roman" w:hAnsi="Times New Roman"/>
          <w:sz w:val="18"/>
          <w:szCs w:val="18"/>
          <w:color w:val="auto"/>
        </w:rPr>
        <w:t>” shall have the meaning specified in Section 14.03(a).</w:t>
      </w:r>
    </w:p>
    <w:p>
      <w:pPr>
        <w:spacing w:after="0" w:line="225" w:lineRule="exact"/>
        <w:rPr>
          <w:sz w:val="20"/>
          <w:szCs w:val="20"/>
          <w:color w:val="auto"/>
        </w:rPr>
      </w:pPr>
    </w:p>
    <w:p>
      <w:pPr>
        <w:ind w:right="40" w:firstLine="440"/>
        <w:spacing w:after="0" w:line="257"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Affiliate</w:t>
      </w:r>
      <w:r>
        <w:rPr>
          <w:rFonts w:ascii="Times New Roman" w:cs="Times New Roman" w:eastAsia="Times New Roman" w:hAnsi="Times New Roman"/>
          <w:sz w:val="18"/>
          <w:szCs w:val="18"/>
          <w:color w:val="auto"/>
        </w:rPr>
        <w:t>” of any specified Person means any other Person directly or indirectly controlling or controlled by or under direct or indirect common control with such specified Person. For the purposes of this definition, “control,” when used with respect to any specified Person means the power to direct or cause the direction of the management and policies of such Person, directly or indirectly, whether through the ownership of voting securities, by contract or otherwise; and the terms “controlling” and “controlled” have meanings correlative to the foregoing. Notwithstanding anything to the contrary herein, the determination of whether one Person is an “</w:t>
      </w:r>
      <w:r>
        <w:rPr>
          <w:rFonts w:ascii="Times New Roman" w:cs="Times New Roman" w:eastAsia="Times New Roman" w:hAnsi="Times New Roman"/>
          <w:sz w:val="18"/>
          <w:szCs w:val="18"/>
          <w:b w:val="1"/>
          <w:bCs w:val="1"/>
          <w:color w:val="auto"/>
        </w:rPr>
        <w:t>Affiliate</w:t>
      </w:r>
      <w:r>
        <w:rPr>
          <w:rFonts w:ascii="Times New Roman" w:cs="Times New Roman" w:eastAsia="Times New Roman" w:hAnsi="Times New Roman"/>
          <w:sz w:val="18"/>
          <w:szCs w:val="18"/>
          <w:color w:val="auto"/>
        </w:rPr>
        <w:t>” of another Person for purposes of this Indenture shall be made based on the facts at the time such determination is made or required to be made, as the case may be, hereunder.</w:t>
      </w:r>
    </w:p>
    <w:p>
      <w:pPr>
        <w:spacing w:after="0" w:line="182" w:lineRule="exact"/>
        <w:rPr>
          <w:sz w:val="20"/>
          <w:szCs w:val="20"/>
          <w:color w:val="auto"/>
        </w:rPr>
      </w:pPr>
    </w:p>
    <w:p>
      <w:pPr>
        <w:ind w:right="44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Bid Solicitation Agent</w:t>
      </w:r>
      <w:r>
        <w:rPr>
          <w:rFonts w:ascii="Times New Roman" w:cs="Times New Roman" w:eastAsia="Times New Roman" w:hAnsi="Times New Roman"/>
          <w:sz w:val="18"/>
          <w:szCs w:val="18"/>
          <w:color w:val="auto"/>
        </w:rPr>
        <w:t>” means the Company or the Person appointed by the Company to solicit bids for the Trading Price of the Notes in accordance with Section 14.01(b)(i). The Company shall initially act as the Bid Solicitation Agent.</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Board of Directors</w:t>
      </w:r>
      <w:r>
        <w:rPr>
          <w:rFonts w:ascii="Times New Roman" w:cs="Times New Roman" w:eastAsia="Times New Roman" w:hAnsi="Times New Roman"/>
          <w:sz w:val="18"/>
          <w:szCs w:val="18"/>
          <w:color w:val="auto"/>
        </w:rPr>
        <w:t>” means the board of directors of the Company or a committee of such board duly authorized to act for it hereunder.</w:t>
      </w:r>
    </w:p>
    <w:p>
      <w:pPr>
        <w:spacing w:after="0" w:line="225" w:lineRule="exact"/>
        <w:rPr>
          <w:sz w:val="20"/>
          <w:szCs w:val="20"/>
          <w:color w:val="auto"/>
        </w:rPr>
      </w:pPr>
    </w:p>
    <w:p>
      <w:pPr>
        <w:jc w:val="both"/>
        <w:ind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Board Resolution</w:t>
      </w:r>
      <w:r>
        <w:rPr>
          <w:rFonts w:ascii="Times New Roman" w:cs="Times New Roman" w:eastAsia="Times New Roman" w:hAnsi="Times New Roman"/>
          <w:sz w:val="18"/>
          <w:szCs w:val="18"/>
          <w:color w:val="auto"/>
        </w:rPr>
        <w:t>” means a copy of a resolution certified by the Secretary or an Assistant Secretary of the Company to have been duly adopted by the Board of Directors, and to be in full force and effect on the date of such certification, and delivered to the Trustee.</w:t>
      </w:r>
    </w:p>
    <w:p>
      <w:pPr>
        <w:spacing w:after="0" w:line="155" w:lineRule="exact"/>
        <w:rPr>
          <w:sz w:val="20"/>
          <w:szCs w:val="20"/>
          <w:color w:val="auto"/>
        </w:rPr>
      </w:pPr>
    </w:p>
    <w:p>
      <w:pPr>
        <w:ind w:right="12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Business Day</w:t>
      </w:r>
      <w:r>
        <w:rPr>
          <w:rFonts w:ascii="Times New Roman" w:cs="Times New Roman" w:eastAsia="Times New Roman" w:hAnsi="Times New Roman"/>
          <w:sz w:val="18"/>
          <w:szCs w:val="18"/>
          <w:color w:val="auto"/>
        </w:rPr>
        <w:t>” means, with respect to any Note, any day other than a Saturday, a Sunday or a day on which the Federal Reserve Bank of New York is authorized or required by law or executive order to close or be closed.</w:t>
      </w:r>
    </w:p>
    <w:p>
      <w:pPr>
        <w:spacing w:after="0" w:line="155" w:lineRule="exact"/>
        <w:rPr>
          <w:sz w:val="20"/>
          <w:szCs w:val="20"/>
          <w:color w:val="auto"/>
        </w:rPr>
      </w:pPr>
    </w:p>
    <w:p>
      <w:pPr>
        <w:jc w:val="both"/>
        <w:ind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Capital Stock</w:t>
      </w:r>
      <w:r>
        <w:rPr>
          <w:rFonts w:ascii="Times New Roman" w:cs="Times New Roman" w:eastAsia="Times New Roman" w:hAnsi="Times New Roman"/>
          <w:sz w:val="18"/>
          <w:szCs w:val="18"/>
          <w:color w:val="auto"/>
        </w:rPr>
        <w:t xml:space="preserve">” means, for any entity, any and all shares, interests, rights to purchase, warrants, options, participations or other equivalents of or interests in (however designated) stock issued by that entity;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any debt securities convertible into or exchangeable for Capital Stock shall not constitute Capital Stock prior to their conversion or exchange, as the case may be.</w:t>
      </w:r>
    </w:p>
    <w:p>
      <w:pPr>
        <w:spacing w:after="0" w:line="17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Cash Settlement</w:t>
      </w:r>
      <w:r>
        <w:rPr>
          <w:rFonts w:ascii="Times New Roman" w:cs="Times New Roman" w:eastAsia="Times New Roman" w:hAnsi="Times New Roman"/>
          <w:sz w:val="18"/>
          <w:szCs w:val="18"/>
          <w:color w:val="auto"/>
        </w:rPr>
        <w:t>” shall have the meaning specified in Section 14.02(a).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Class B Common Stock</w:t>
      </w:r>
      <w:r>
        <w:rPr>
          <w:rFonts w:ascii="Times New Roman" w:cs="Times New Roman" w:eastAsia="Times New Roman" w:hAnsi="Times New Roman"/>
          <w:sz w:val="18"/>
          <w:szCs w:val="18"/>
          <w:color w:val="auto"/>
        </w:rPr>
        <w:t>” means the class B common stock of the Company, par value $0.001 per share.</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Clause A Distribution</w:t>
      </w:r>
      <w:r>
        <w:rPr>
          <w:rFonts w:ascii="Times New Roman" w:cs="Times New Roman" w:eastAsia="Times New Roman" w:hAnsi="Times New Roman"/>
          <w:sz w:val="18"/>
          <w:szCs w:val="18"/>
          <w:color w:val="auto"/>
        </w:rPr>
        <w:t>” shall have the meaning specified in Section 14.04(c).</w:t>
      </w:r>
    </w:p>
    <w:p>
      <w:pPr>
        <w:spacing w:after="0" w:line="162" w:lineRule="exact"/>
        <w:rPr>
          <w:sz w:val="20"/>
          <w:szCs w:val="20"/>
          <w:color w:val="auto"/>
        </w:rPr>
      </w:pPr>
    </w:p>
    <w:p>
      <w:pPr>
        <w:ind w:left="5460"/>
        <w:spacing w:after="0"/>
        <w:rPr>
          <w:sz w:val="20"/>
          <w:szCs w:val="20"/>
          <w:color w:val="auto"/>
        </w:rPr>
      </w:pPr>
      <w:r>
        <w:rPr>
          <w:rFonts w:ascii="Times New Roman" w:cs="Times New Roman" w:eastAsia="Times New Roman" w:hAnsi="Times New Roman"/>
          <w:sz w:val="18"/>
          <w:szCs w:val="18"/>
          <w:color w:val="auto"/>
        </w:rPr>
        <w:t>2</w:t>
      </w:r>
    </w:p>
    <w:p>
      <w:pPr>
        <w:sectPr>
          <w:pgSz w:w="11900" w:h="16838" w:orient="portrait"/>
          <w:cols w:equalWidth="0" w:num="1">
            <w:col w:w="10880"/>
          </w:cols>
          <w:pgMar w:left="440" w:top="266" w:right="579" w:bottom="1440" w:gutter="0" w:footer="0" w:header="0"/>
        </w:sectPr>
      </w:pPr>
    </w:p>
    <w:bookmarkStart w:id="13" w:name="page14"/>
    <w:bookmarkEnd w:id="13"/>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Clause B Distribution</w:t>
      </w:r>
      <w:r>
        <w:rPr>
          <w:rFonts w:ascii="Times New Roman" w:cs="Times New Roman" w:eastAsia="Times New Roman" w:hAnsi="Times New Roman"/>
          <w:sz w:val="18"/>
          <w:szCs w:val="18"/>
          <w:color w:val="auto"/>
        </w:rPr>
        <w:t>” shall have the meaning specified in Section 14.04(c).</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Clause C Distribution</w:t>
      </w:r>
      <w:r>
        <w:rPr>
          <w:rFonts w:ascii="Times New Roman" w:cs="Times New Roman" w:eastAsia="Times New Roman" w:hAnsi="Times New Roman"/>
          <w:sz w:val="18"/>
          <w:szCs w:val="18"/>
          <w:color w:val="auto"/>
        </w:rPr>
        <w:t>” shall have the meaning specified in Section 14.04(c).</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close of business</w:t>
      </w:r>
      <w:r>
        <w:rPr>
          <w:rFonts w:ascii="Times New Roman" w:cs="Times New Roman" w:eastAsia="Times New Roman" w:hAnsi="Times New Roman"/>
          <w:sz w:val="18"/>
          <w:szCs w:val="18"/>
          <w:color w:val="auto"/>
        </w:rPr>
        <w:t>” means 5:00 p.m. (New York City time).</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Combination Settlement</w:t>
      </w:r>
      <w:r>
        <w:rPr>
          <w:rFonts w:ascii="Times New Roman" w:cs="Times New Roman" w:eastAsia="Times New Roman" w:hAnsi="Times New Roman"/>
          <w:sz w:val="18"/>
          <w:szCs w:val="18"/>
          <w:color w:val="auto"/>
        </w:rPr>
        <w:t>” shall have the meaning specified in Section 14.02(a).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Commission</w:t>
      </w:r>
      <w:r>
        <w:rPr>
          <w:rFonts w:ascii="Times New Roman" w:cs="Times New Roman" w:eastAsia="Times New Roman" w:hAnsi="Times New Roman"/>
          <w:sz w:val="18"/>
          <w:szCs w:val="18"/>
          <w:color w:val="auto"/>
        </w:rPr>
        <w:t>” means the U.S. Securities and Exchange Commission.</w:t>
      </w:r>
    </w:p>
    <w:p>
      <w:pPr>
        <w:spacing w:after="0" w:line="225" w:lineRule="exact"/>
        <w:rPr>
          <w:sz w:val="20"/>
          <w:szCs w:val="20"/>
          <w:color w:val="auto"/>
        </w:rPr>
      </w:pPr>
    </w:p>
    <w:p>
      <w:pPr>
        <w:ind w:right="2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Common Equity</w:t>
      </w:r>
      <w:r>
        <w:rPr>
          <w:rFonts w:ascii="Times New Roman" w:cs="Times New Roman" w:eastAsia="Times New Roman" w:hAnsi="Times New Roman"/>
          <w:sz w:val="18"/>
          <w:szCs w:val="18"/>
          <w:color w:val="auto"/>
        </w:rPr>
        <w:t>” of any Person means Capital Stock of such Person that is generally entitled (a) to vote in the election of directors of such Person or (b) if such Person is not a corporation, to vote or otherwise participate in the selection of the governing body, partners, managers or others that will control the management or policies of such Person.</w:t>
      </w:r>
    </w:p>
    <w:p>
      <w:pPr>
        <w:spacing w:after="0" w:line="171" w:lineRule="exact"/>
        <w:rPr>
          <w:sz w:val="20"/>
          <w:szCs w:val="20"/>
          <w:color w:val="auto"/>
        </w:rPr>
      </w:pPr>
    </w:p>
    <w:p>
      <w:pPr>
        <w:ind w:right="74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Common Stock</w:t>
      </w:r>
      <w:r>
        <w:rPr>
          <w:rFonts w:ascii="Times New Roman" w:cs="Times New Roman" w:eastAsia="Times New Roman" w:hAnsi="Times New Roman"/>
          <w:sz w:val="18"/>
          <w:szCs w:val="18"/>
          <w:color w:val="auto"/>
        </w:rPr>
        <w:t>” means the class A common stock of the Company, par value $0.001 per share, at the date of this Indenture, subject to Section 14.07.</w:t>
      </w:r>
    </w:p>
    <w:p>
      <w:pPr>
        <w:spacing w:after="0" w:line="155" w:lineRule="exact"/>
        <w:rPr>
          <w:sz w:val="20"/>
          <w:szCs w:val="20"/>
          <w:color w:val="auto"/>
        </w:rPr>
      </w:pPr>
    </w:p>
    <w:p>
      <w:pPr>
        <w:ind w:right="16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Company</w:t>
      </w:r>
      <w:r>
        <w:rPr>
          <w:rFonts w:ascii="Times New Roman" w:cs="Times New Roman" w:eastAsia="Times New Roman" w:hAnsi="Times New Roman"/>
          <w:sz w:val="18"/>
          <w:szCs w:val="18"/>
          <w:color w:val="auto"/>
        </w:rPr>
        <w:t>” shall have the meaning specified in the first paragraph of this Indenture, and subject to the provisions of Article 11, shall include its successors and assigns.</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Company Notice</w:t>
      </w:r>
      <w:r>
        <w:rPr>
          <w:rFonts w:ascii="Times New Roman" w:cs="Times New Roman" w:eastAsia="Times New Roman" w:hAnsi="Times New Roman"/>
          <w:sz w:val="18"/>
          <w:szCs w:val="18"/>
          <w:color w:val="auto"/>
        </w:rPr>
        <w:t>” shall have the meaning specified in Section 15.01(a).</w:t>
      </w:r>
    </w:p>
    <w:p>
      <w:pPr>
        <w:spacing w:after="0" w:line="225" w:lineRule="exact"/>
        <w:rPr>
          <w:sz w:val="20"/>
          <w:szCs w:val="20"/>
          <w:color w:val="auto"/>
        </w:rPr>
      </w:pPr>
    </w:p>
    <w:p>
      <w:pPr>
        <w:ind w:right="240"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Company Order</w:t>
      </w:r>
      <w:r>
        <w:rPr>
          <w:rFonts w:ascii="Times New Roman" w:cs="Times New Roman" w:eastAsia="Times New Roman" w:hAnsi="Times New Roman"/>
          <w:sz w:val="18"/>
          <w:szCs w:val="18"/>
          <w:color w:val="auto"/>
        </w:rPr>
        <w:t>” means a written order of the Company, signed by (a) the Company’s Executive Chairman, Chief Executive Officer, Chief Financial Officer, President, Executive or Senior Vice President or any Vice President (whether or not designated by a number or numbers or word or words added before or after the title “Vice President”) and (b) any such other Officer designated in clause (a) of this definition or the Company’s Treasurer or Assistant Treasurer or Secretary or any Assistant Secretary, and delivered to the Trustee.</w:t>
      </w:r>
    </w:p>
    <w:p>
      <w:pPr>
        <w:spacing w:after="0" w:line="176"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 Agent</w:t>
      </w:r>
      <w:r>
        <w:rPr>
          <w:rFonts w:ascii="Times New Roman" w:cs="Times New Roman" w:eastAsia="Times New Roman" w:hAnsi="Times New Roman"/>
          <w:sz w:val="18"/>
          <w:szCs w:val="18"/>
          <w:color w:val="auto"/>
        </w:rPr>
        <w:t>” shall have the meaning specified in Section 4.02.</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 Consideration</w:t>
      </w:r>
      <w:r>
        <w:rPr>
          <w:rFonts w:ascii="Times New Roman" w:cs="Times New Roman" w:eastAsia="Times New Roman" w:hAnsi="Times New Roman"/>
          <w:sz w:val="18"/>
          <w:szCs w:val="18"/>
          <w:color w:val="auto"/>
        </w:rPr>
        <w:t>” shall have the meaning specified in Section 14.12.</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 Date</w:t>
      </w:r>
      <w:r>
        <w:rPr>
          <w:rFonts w:ascii="Times New Roman" w:cs="Times New Roman" w:eastAsia="Times New Roman" w:hAnsi="Times New Roman"/>
          <w:sz w:val="18"/>
          <w:szCs w:val="18"/>
          <w:color w:val="auto"/>
        </w:rPr>
        <w:t>” shall have the meaning specified in Section 14.02(c).</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 Obligation</w:t>
      </w:r>
      <w:r>
        <w:rPr>
          <w:rFonts w:ascii="Times New Roman" w:cs="Times New Roman" w:eastAsia="Times New Roman" w:hAnsi="Times New Roman"/>
          <w:sz w:val="18"/>
          <w:szCs w:val="18"/>
          <w:color w:val="auto"/>
        </w:rPr>
        <w:t>” shall have the meaning specified in Section 14.01(a).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 Price</w:t>
      </w:r>
      <w:r>
        <w:rPr>
          <w:rFonts w:ascii="Times New Roman" w:cs="Times New Roman" w:eastAsia="Times New Roman" w:hAnsi="Times New Roman"/>
          <w:sz w:val="18"/>
          <w:szCs w:val="18"/>
          <w:color w:val="auto"/>
        </w:rPr>
        <w:t xml:space="preserve">” means as of any date, $1,000, </w:t>
      </w:r>
      <w:r>
        <w:rPr>
          <w:rFonts w:ascii="Times New Roman" w:cs="Times New Roman" w:eastAsia="Times New Roman" w:hAnsi="Times New Roman"/>
          <w:sz w:val="18"/>
          <w:szCs w:val="18"/>
          <w:i w:val="1"/>
          <w:iCs w:val="1"/>
          <w:color w:val="auto"/>
        </w:rPr>
        <w:t>divided by</w:t>
      </w:r>
      <w:r>
        <w:rPr>
          <w:rFonts w:ascii="Times New Roman" w:cs="Times New Roman" w:eastAsia="Times New Roman" w:hAnsi="Times New Roman"/>
          <w:sz w:val="18"/>
          <w:szCs w:val="18"/>
          <w:color w:val="auto"/>
        </w:rPr>
        <w:t xml:space="preserve"> the Conversion Rate as of such date.</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 Rate</w:t>
      </w:r>
      <w:r>
        <w:rPr>
          <w:rFonts w:ascii="Times New Roman" w:cs="Times New Roman" w:eastAsia="Times New Roman" w:hAnsi="Times New Roman"/>
          <w:sz w:val="18"/>
          <w:szCs w:val="18"/>
          <w:color w:val="auto"/>
        </w:rPr>
        <w:t>” shall have the meaning specified in Section 14.01(a).</w:t>
      </w:r>
    </w:p>
    <w:p>
      <w:pPr>
        <w:spacing w:after="0" w:line="225" w:lineRule="exact"/>
        <w:rPr>
          <w:sz w:val="20"/>
          <w:szCs w:val="20"/>
          <w:color w:val="auto"/>
        </w:rPr>
      </w:pPr>
    </w:p>
    <w:p>
      <w:pPr>
        <w:ind w:firstLine="440"/>
        <w:spacing w:after="0" w:line="259"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Corporate Trust Office</w:t>
      </w:r>
      <w:r>
        <w:rPr>
          <w:rFonts w:ascii="Times New Roman" w:cs="Times New Roman" w:eastAsia="Times New Roman" w:hAnsi="Times New Roman"/>
          <w:sz w:val="18"/>
          <w:szCs w:val="18"/>
          <w:color w:val="auto"/>
        </w:rPr>
        <w:t>” means (i) with respect to the Trustee, the principal office of the Trustee at which at any particular time its corporate trust business shall be administered, which office as of the date hereof is located at U.S. Bank Trust Company, National Association, Global Corporate Trust Services, One Federal Street, 10th Floor, Boston, MA 02110, Attention: Karen R. Beard, Vice President, or such other office as the Trustee may from time to time designate in writing to the Company and the Holders or (ii) the designated corporate trust office of any successor trustee (or such other address as such successor trustee may designate from time to time by notice to the Holders and the Company).</w:t>
      </w:r>
    </w:p>
    <w:p>
      <w:pPr>
        <w:spacing w:after="0" w:line="11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w:t>
      </w:r>
    </w:p>
    <w:p>
      <w:pPr>
        <w:sectPr>
          <w:pgSz w:w="11900" w:h="16838" w:orient="portrait"/>
          <w:cols w:equalWidth="0" w:num="1">
            <w:col w:w="11000"/>
          </w:cols>
          <w:pgMar w:left="440" w:top="266" w:right="459" w:bottom="1440" w:gutter="0" w:footer="0" w:header="0"/>
        </w:sectPr>
      </w:pPr>
    </w:p>
    <w:bookmarkStart w:id="14" w:name="page15"/>
    <w:bookmarkEnd w:id="14"/>
    <w:p>
      <w:pPr>
        <w:ind w:right="540" w:firstLine="440"/>
        <w:spacing w:after="0" w:line="28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Custodian</w:t>
      </w:r>
      <w:r>
        <w:rPr>
          <w:rFonts w:ascii="Times New Roman" w:cs="Times New Roman" w:eastAsia="Times New Roman" w:hAnsi="Times New Roman"/>
          <w:sz w:val="18"/>
          <w:szCs w:val="18"/>
          <w:color w:val="auto"/>
        </w:rPr>
        <w:t>” means the Trustee, as custodian for The Depository Trust Company, with respect to the Global Notes, or any successor entity thereto.</w:t>
      </w:r>
    </w:p>
    <w:p>
      <w:pPr>
        <w:spacing w:after="0" w:line="155" w:lineRule="exact"/>
        <w:rPr>
          <w:sz w:val="20"/>
          <w:szCs w:val="20"/>
          <w:color w:val="auto"/>
        </w:rPr>
      </w:pPr>
    </w:p>
    <w:p>
      <w:pPr>
        <w:ind w:right="40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Daily Conversion Value</w:t>
      </w:r>
      <w:r>
        <w:rPr>
          <w:rFonts w:ascii="Times New Roman" w:cs="Times New Roman" w:eastAsia="Times New Roman" w:hAnsi="Times New Roman"/>
          <w:sz w:val="18"/>
          <w:szCs w:val="18"/>
          <w:color w:val="auto"/>
        </w:rPr>
        <w:t>” means, for each of the 20 consecutive Trading Days during the Observation Period, one-twentieth (1/20th) of the product of (a) the Conversion Rate on such Trading Day and (b) the Daily VWAP for such Trading Day.</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Daily Measurement Value</w:t>
      </w:r>
      <w:r>
        <w:rPr>
          <w:rFonts w:ascii="Times New Roman" w:cs="Times New Roman" w:eastAsia="Times New Roman" w:hAnsi="Times New Roman"/>
          <w:sz w:val="18"/>
          <w:szCs w:val="18"/>
          <w:color w:val="auto"/>
        </w:rPr>
        <w:t xml:space="preserve">” means the Specified Dollar Amount (if any), </w:t>
      </w:r>
      <w:r>
        <w:rPr>
          <w:rFonts w:ascii="Times New Roman" w:cs="Times New Roman" w:eastAsia="Times New Roman" w:hAnsi="Times New Roman"/>
          <w:sz w:val="18"/>
          <w:szCs w:val="18"/>
          <w:i w:val="1"/>
          <w:iCs w:val="1"/>
          <w:color w:val="auto"/>
        </w:rPr>
        <w:t>divided by</w:t>
      </w:r>
      <w:r>
        <w:rPr>
          <w:rFonts w:ascii="Times New Roman" w:cs="Times New Roman" w:eastAsia="Times New Roman" w:hAnsi="Times New Roman"/>
          <w:sz w:val="18"/>
          <w:szCs w:val="18"/>
          <w:color w:val="auto"/>
        </w:rPr>
        <w:t xml:space="preserve"> 20.</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Daily Settlement Amount</w:t>
      </w:r>
      <w:r>
        <w:rPr>
          <w:rFonts w:ascii="Times New Roman" w:cs="Times New Roman" w:eastAsia="Times New Roman" w:hAnsi="Times New Roman"/>
          <w:sz w:val="18"/>
          <w:szCs w:val="18"/>
          <w:color w:val="auto"/>
        </w:rPr>
        <w:t>,” for each of the 20 consecutive Trading Days during the Observation Period, shall consist of:</w:t>
      </w:r>
    </w:p>
    <w:p>
      <w:pPr>
        <w:spacing w:after="0" w:line="121" w:lineRule="exact"/>
        <w:rPr>
          <w:sz w:val="20"/>
          <w:szCs w:val="20"/>
          <w:color w:val="auto"/>
        </w:rPr>
      </w:pPr>
    </w:p>
    <w:p>
      <w:pPr>
        <w:ind w:left="1100" w:hanging="241"/>
        <w:spacing w:after="0"/>
        <w:tabs>
          <w:tab w:leader="none" w:pos="1100"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cash in an amount equal to the lesser of (i) the Daily Measurement Value and (ii) the Daily Conversion Value on such Trading Day; and</w:t>
      </w:r>
    </w:p>
    <w:p>
      <w:pPr>
        <w:spacing w:after="0" w:line="117" w:lineRule="exact"/>
        <w:rPr>
          <w:rFonts w:ascii="Times New Roman" w:cs="Times New Roman" w:eastAsia="Times New Roman" w:hAnsi="Times New Roman"/>
          <w:sz w:val="18"/>
          <w:szCs w:val="18"/>
          <w:color w:val="auto"/>
        </w:rPr>
      </w:pPr>
    </w:p>
    <w:p>
      <w:pPr>
        <w:ind w:left="440" w:right="40" w:firstLine="419"/>
        <w:spacing w:after="0" w:line="312" w:lineRule="auto"/>
        <w:tabs>
          <w:tab w:leader="none" w:pos="1118" w:val="left"/>
        </w:tabs>
        <w:numPr>
          <w:ilvl w:val="0"/>
          <w:numId w:val="3"/>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 xml:space="preserve">if the Daily Conversion Value on such Trading Day exceeds the Daily Measurement Value, a number of shares of Common Stock equal to (i) the difference between the Daily Conversion Value and the Daily Measurement Value, </w:t>
      </w:r>
      <w:r>
        <w:rPr>
          <w:rFonts w:ascii="Times New Roman" w:cs="Times New Roman" w:eastAsia="Times New Roman" w:hAnsi="Times New Roman"/>
          <w:sz w:val="17"/>
          <w:szCs w:val="17"/>
          <w:i w:val="1"/>
          <w:iCs w:val="1"/>
          <w:color w:val="auto"/>
        </w:rPr>
        <w:t>divided by</w:t>
      </w:r>
      <w:r>
        <w:rPr>
          <w:rFonts w:ascii="Times New Roman" w:cs="Times New Roman" w:eastAsia="Times New Roman" w:hAnsi="Times New Roman"/>
          <w:sz w:val="17"/>
          <w:szCs w:val="17"/>
          <w:color w:val="auto"/>
        </w:rPr>
        <w:t xml:space="preserve"> (ii) the Daily VWAP for such Trading Day</w:t>
      </w:r>
    </w:p>
    <w:p>
      <w:pPr>
        <w:spacing w:after="0" w:line="136" w:lineRule="exact"/>
        <w:rPr>
          <w:sz w:val="20"/>
          <w:szCs w:val="20"/>
          <w:color w:val="auto"/>
        </w:rPr>
      </w:pPr>
    </w:p>
    <w:p>
      <w:pPr>
        <w:ind w:firstLine="440"/>
        <w:spacing w:after="0" w:line="25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Daily VWAP</w:t>
      </w:r>
      <w:r>
        <w:rPr>
          <w:rFonts w:ascii="Times New Roman" w:cs="Times New Roman" w:eastAsia="Times New Roman" w:hAnsi="Times New Roman"/>
          <w:sz w:val="18"/>
          <w:szCs w:val="18"/>
          <w:color w:val="auto"/>
        </w:rPr>
        <w:t>” means, for each of the 20 consecutive Trading Days during the relevant Observation Period, the per share volume-weighted average price as displayed under the heading “Bloomberg VWAP” on Bloomberg page “MSTR &lt;equity&gt; AQR” (or its equivalent successor if such page is not available) in respect of the period from the scheduled open of trading until the scheduled close of trading of the primary trading session on such Trading Day (or if such volume-weighted average price is unavailable, the market value of one share of the Common Stock on such Trading Day determined, using a volume-weighted average method, by a nationally recognized independent investment banking firm retained for this purpose by the Company). The “</w:t>
      </w:r>
      <w:r>
        <w:rPr>
          <w:rFonts w:ascii="Times New Roman" w:cs="Times New Roman" w:eastAsia="Times New Roman" w:hAnsi="Times New Roman"/>
          <w:sz w:val="18"/>
          <w:szCs w:val="18"/>
          <w:b w:val="1"/>
          <w:bCs w:val="1"/>
          <w:color w:val="auto"/>
        </w:rPr>
        <w:t>Daily VWAP</w:t>
      </w:r>
      <w:r>
        <w:rPr>
          <w:rFonts w:ascii="Times New Roman" w:cs="Times New Roman" w:eastAsia="Times New Roman" w:hAnsi="Times New Roman"/>
          <w:sz w:val="18"/>
          <w:szCs w:val="18"/>
          <w:color w:val="auto"/>
        </w:rPr>
        <w:t>” shall be determined without regard to after-hours trading or any other trading outside of the regular trading session trading hours.</w:t>
      </w:r>
    </w:p>
    <w:p>
      <w:pPr>
        <w:spacing w:after="0" w:line="183"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Default</w:t>
      </w:r>
      <w:r>
        <w:rPr>
          <w:rFonts w:ascii="Times New Roman" w:cs="Times New Roman" w:eastAsia="Times New Roman" w:hAnsi="Times New Roman"/>
          <w:sz w:val="18"/>
          <w:szCs w:val="18"/>
          <w:color w:val="auto"/>
        </w:rPr>
        <w:t>” means any event that is, or after notice or passage of time, or both, would be, an Event of Default.</w:t>
      </w:r>
    </w:p>
    <w:p>
      <w:pPr>
        <w:spacing w:after="0" w:line="225" w:lineRule="exact"/>
        <w:rPr>
          <w:sz w:val="20"/>
          <w:szCs w:val="20"/>
          <w:color w:val="auto"/>
        </w:rPr>
      </w:pPr>
    </w:p>
    <w:p>
      <w:pPr>
        <w:ind w:right="76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Defaulted Amounts</w:t>
      </w:r>
      <w:r>
        <w:rPr>
          <w:rFonts w:ascii="Times New Roman" w:cs="Times New Roman" w:eastAsia="Times New Roman" w:hAnsi="Times New Roman"/>
          <w:sz w:val="18"/>
          <w:szCs w:val="18"/>
          <w:color w:val="auto"/>
        </w:rPr>
        <w:t>” means any amounts on any Note (including, without limitation, the Redemption Price, the Repurchase Price, the Fundamental Change Repurchase Price, principal and interest) that are payable but have not been paid or duly provided for.</w:t>
      </w:r>
    </w:p>
    <w:p>
      <w:pPr>
        <w:spacing w:after="0" w:line="155" w:lineRule="exact"/>
        <w:rPr>
          <w:sz w:val="20"/>
          <w:szCs w:val="20"/>
          <w:color w:val="auto"/>
        </w:rPr>
      </w:pPr>
    </w:p>
    <w:p>
      <w:pPr>
        <w:jc w:val="both"/>
        <w:ind w:right="6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Depositary</w:t>
      </w:r>
      <w:r>
        <w:rPr>
          <w:rFonts w:ascii="Times New Roman" w:cs="Times New Roman" w:eastAsia="Times New Roman" w:hAnsi="Times New Roman"/>
          <w:sz w:val="18"/>
          <w:szCs w:val="18"/>
          <w:color w:val="auto"/>
        </w:rPr>
        <w:t>” means, with respect to each Global Note, the Person specified in Section 2.05(c) as the Depositary with respect to such Notes, until a successor shall have been appointed and become such pursuant to the applicable provisions of this Indenture, and thereafter, “</w:t>
      </w:r>
      <w:r>
        <w:rPr>
          <w:rFonts w:ascii="Times New Roman" w:cs="Times New Roman" w:eastAsia="Times New Roman" w:hAnsi="Times New Roman"/>
          <w:sz w:val="18"/>
          <w:szCs w:val="18"/>
          <w:b w:val="1"/>
          <w:bCs w:val="1"/>
          <w:color w:val="auto"/>
        </w:rPr>
        <w:t>Depositary</w:t>
      </w:r>
      <w:r>
        <w:rPr>
          <w:rFonts w:ascii="Times New Roman" w:cs="Times New Roman" w:eastAsia="Times New Roman" w:hAnsi="Times New Roman"/>
          <w:sz w:val="18"/>
          <w:szCs w:val="18"/>
          <w:color w:val="auto"/>
        </w:rPr>
        <w:t>” shall mean or include such successor.</w:t>
      </w:r>
    </w:p>
    <w:p>
      <w:pPr>
        <w:spacing w:after="0" w:line="10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4</w:t>
      </w:r>
    </w:p>
    <w:p>
      <w:pPr>
        <w:sectPr>
          <w:pgSz w:w="11900" w:h="16838" w:orient="portrait"/>
          <w:cols w:equalWidth="0" w:num="1">
            <w:col w:w="10980"/>
          </w:cols>
          <w:pgMar w:left="440" w:top="266" w:right="479" w:bottom="1440" w:gutter="0" w:footer="0" w:header="0"/>
        </w:sectPr>
      </w:pPr>
    </w:p>
    <w:bookmarkStart w:id="15" w:name="page16"/>
    <w:bookmarkEnd w:id="15"/>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Distributed Property</w:t>
      </w:r>
      <w:r>
        <w:rPr>
          <w:rFonts w:ascii="Times New Roman" w:cs="Times New Roman" w:eastAsia="Times New Roman" w:hAnsi="Times New Roman"/>
          <w:sz w:val="18"/>
          <w:szCs w:val="18"/>
          <w:color w:val="auto"/>
        </w:rPr>
        <w:t>” shall have the meaning specified in Section 14.04(c).</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b w:val="1"/>
          <w:bCs w:val="1"/>
          <w:color w:val="auto"/>
        </w:rPr>
        <w:t xml:space="preserve">“Distribution Trigger Irrevocable Physical Settlement Period” </w:t>
      </w:r>
      <w:r>
        <w:rPr>
          <w:rFonts w:ascii="Times New Roman" w:cs="Times New Roman" w:eastAsia="Times New Roman" w:hAnsi="Times New Roman"/>
          <w:sz w:val="18"/>
          <w:szCs w:val="18"/>
          <w:color w:val="auto"/>
        </w:rPr>
        <w:t>shall have the meaning specified in Section 14.01(b)(ii).</w:t>
      </w:r>
    </w:p>
    <w:p>
      <w:pPr>
        <w:spacing w:after="0" w:line="225" w:lineRule="exact"/>
        <w:rPr>
          <w:sz w:val="20"/>
          <w:szCs w:val="20"/>
          <w:color w:val="auto"/>
        </w:rPr>
      </w:pPr>
    </w:p>
    <w:p>
      <w:pPr>
        <w:ind w:right="12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Effective Date</w:t>
      </w:r>
      <w:r>
        <w:rPr>
          <w:rFonts w:ascii="Times New Roman" w:cs="Times New Roman" w:eastAsia="Times New Roman" w:hAnsi="Times New Roman"/>
          <w:sz w:val="18"/>
          <w:szCs w:val="18"/>
          <w:color w:val="auto"/>
        </w:rPr>
        <w:t>” shall have the meaning specified in Section 14.03(c), except that, as used in Section 14.04 and Section 14.05, “</w:t>
      </w:r>
      <w:r>
        <w:rPr>
          <w:rFonts w:ascii="Times New Roman" w:cs="Times New Roman" w:eastAsia="Times New Roman" w:hAnsi="Times New Roman"/>
          <w:sz w:val="18"/>
          <w:szCs w:val="18"/>
          <w:b w:val="1"/>
          <w:bCs w:val="1"/>
          <w:color w:val="auto"/>
        </w:rPr>
        <w:t>Effective Date</w:t>
      </w:r>
      <w:r>
        <w:rPr>
          <w:rFonts w:ascii="Times New Roman" w:cs="Times New Roman" w:eastAsia="Times New Roman" w:hAnsi="Times New Roman"/>
          <w:sz w:val="18"/>
          <w:szCs w:val="18"/>
          <w:color w:val="auto"/>
        </w:rPr>
        <w:t>” means the first date on which shares of the Common Stock trade on the applicable exchange or in the applicable market, regular way, reflecting the relevant share split or share combination, as applicable.</w:t>
      </w:r>
    </w:p>
    <w:p>
      <w:pPr>
        <w:spacing w:after="0" w:line="17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Event of Default</w:t>
      </w:r>
      <w:r>
        <w:rPr>
          <w:rFonts w:ascii="Times New Roman" w:cs="Times New Roman" w:eastAsia="Times New Roman" w:hAnsi="Times New Roman"/>
          <w:sz w:val="18"/>
          <w:szCs w:val="18"/>
          <w:color w:val="auto"/>
        </w:rPr>
        <w:t>” shall have the meaning specified in Section 6.01.</w:t>
      </w:r>
    </w:p>
    <w:p>
      <w:pPr>
        <w:spacing w:after="0" w:line="225" w:lineRule="exact"/>
        <w:rPr>
          <w:sz w:val="20"/>
          <w:szCs w:val="20"/>
          <w:color w:val="auto"/>
        </w:rPr>
      </w:pPr>
    </w:p>
    <w:p>
      <w:pPr>
        <w:ind w:right="32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Ex-Dividend Date</w:t>
      </w:r>
      <w:r>
        <w:rPr>
          <w:rFonts w:ascii="Times New Roman" w:cs="Times New Roman" w:eastAsia="Times New Roman" w:hAnsi="Times New Roman"/>
          <w:sz w:val="18"/>
          <w:szCs w:val="18"/>
          <w:color w:val="auto"/>
        </w:rPr>
        <w:t>” means the first date on which shares of the Common Stock trade on the applicable exchange or in the applicable market, regular way, without the right to receive the issuance, dividend or distribution in question, from the Company or, if applicable, from the seller of Common Stock on such exchange or market (in the form of due bills or otherwise) as determined by such exchange or market.</w:t>
      </w:r>
    </w:p>
    <w:p>
      <w:pPr>
        <w:spacing w:after="0" w:line="17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Exchange Act</w:t>
      </w:r>
      <w:r>
        <w:rPr>
          <w:rFonts w:ascii="Times New Roman" w:cs="Times New Roman" w:eastAsia="Times New Roman" w:hAnsi="Times New Roman"/>
          <w:sz w:val="18"/>
          <w:szCs w:val="18"/>
          <w:color w:val="auto"/>
        </w:rPr>
        <w:t>” means the Securities Exchange Act of 1934, as amended, and the rules and regulations promulgated thereunder.</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Exchange Election</w:t>
      </w:r>
      <w:r>
        <w:rPr>
          <w:rFonts w:ascii="Times New Roman" w:cs="Times New Roman" w:eastAsia="Times New Roman" w:hAnsi="Times New Roman"/>
          <w:sz w:val="18"/>
          <w:szCs w:val="18"/>
          <w:color w:val="auto"/>
        </w:rPr>
        <w:t>” shall have the meaning specified in Section 14.12.</w:t>
      </w:r>
    </w:p>
    <w:p>
      <w:pPr>
        <w:spacing w:after="0" w:line="225" w:lineRule="exact"/>
        <w:rPr>
          <w:sz w:val="20"/>
          <w:szCs w:val="20"/>
          <w:color w:val="auto"/>
        </w:rPr>
      </w:pPr>
    </w:p>
    <w:p>
      <w:pPr>
        <w:ind w:right="40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Form of Assignment and Transfer</w:t>
      </w:r>
      <w:r>
        <w:rPr>
          <w:rFonts w:ascii="Times New Roman" w:cs="Times New Roman" w:eastAsia="Times New Roman" w:hAnsi="Times New Roman"/>
          <w:sz w:val="18"/>
          <w:szCs w:val="18"/>
          <w:color w:val="auto"/>
        </w:rPr>
        <w:t>” means the “Form of Assignment and Transfer” attached as Attachment 4 to the Form of Note attached hereto as Exhibit A.</w:t>
      </w:r>
    </w:p>
    <w:p>
      <w:pPr>
        <w:spacing w:after="0" w:line="155" w:lineRule="exact"/>
        <w:rPr>
          <w:sz w:val="20"/>
          <w:szCs w:val="20"/>
          <w:color w:val="auto"/>
        </w:rPr>
      </w:pPr>
    </w:p>
    <w:p>
      <w:pPr>
        <w:ind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Form of Fundamental Change Repurchase Notice</w:t>
      </w:r>
      <w:r>
        <w:rPr>
          <w:rFonts w:ascii="Times New Roman" w:cs="Times New Roman" w:eastAsia="Times New Roman" w:hAnsi="Times New Roman"/>
          <w:sz w:val="18"/>
          <w:szCs w:val="18"/>
          <w:color w:val="auto"/>
        </w:rPr>
        <w:t>” means the “Form of Fundamental Change Repurchase Notice” attached as Attachment 2 to the Form of Note attached hereto as Exhibit A.</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Form of Note</w:t>
      </w:r>
      <w:r>
        <w:rPr>
          <w:rFonts w:ascii="Times New Roman" w:cs="Times New Roman" w:eastAsia="Times New Roman" w:hAnsi="Times New Roman"/>
          <w:sz w:val="18"/>
          <w:szCs w:val="18"/>
          <w:color w:val="auto"/>
        </w:rPr>
        <w:t>” means the “Form of Note” attached hereto as Exhibit A.</w:t>
      </w:r>
    </w:p>
    <w:p>
      <w:pPr>
        <w:spacing w:after="0" w:line="225" w:lineRule="exact"/>
        <w:rPr>
          <w:sz w:val="20"/>
          <w:szCs w:val="20"/>
          <w:color w:val="auto"/>
        </w:rPr>
      </w:pPr>
    </w:p>
    <w:p>
      <w:pPr>
        <w:ind w:right="30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Form of Notice of Conversion</w:t>
      </w:r>
      <w:r>
        <w:rPr>
          <w:rFonts w:ascii="Times New Roman" w:cs="Times New Roman" w:eastAsia="Times New Roman" w:hAnsi="Times New Roman"/>
          <w:sz w:val="18"/>
          <w:szCs w:val="18"/>
          <w:color w:val="auto"/>
        </w:rPr>
        <w:t>” means the “Form of Notice of Conversion” attached as Attachment 1 to the Form of Note attached hereto as Exhibit A.</w:t>
      </w:r>
    </w:p>
    <w:p>
      <w:pPr>
        <w:spacing w:after="0" w:line="155" w:lineRule="exact"/>
        <w:rPr>
          <w:sz w:val="20"/>
          <w:szCs w:val="20"/>
          <w:color w:val="auto"/>
        </w:rPr>
      </w:pPr>
    </w:p>
    <w:p>
      <w:pPr>
        <w:ind w:right="34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Form of Repurchase Notice</w:t>
      </w:r>
      <w:r>
        <w:rPr>
          <w:rFonts w:ascii="Times New Roman" w:cs="Times New Roman" w:eastAsia="Times New Roman" w:hAnsi="Times New Roman"/>
          <w:sz w:val="18"/>
          <w:szCs w:val="18"/>
          <w:color w:val="auto"/>
        </w:rPr>
        <w:t>” shall mean the “Form of Repurchase Notice” attached as Attachment 3 to the Form of Note attached hereto as Exhibit A.</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Fundamental Change</w:t>
      </w:r>
      <w:r>
        <w:rPr>
          <w:rFonts w:ascii="Times New Roman" w:cs="Times New Roman" w:eastAsia="Times New Roman" w:hAnsi="Times New Roman"/>
          <w:sz w:val="18"/>
          <w:szCs w:val="18"/>
          <w:color w:val="auto"/>
        </w:rPr>
        <w:t>” shall be deemed to have occurred at the time after the Notes are originally issued if any of the following occurs:</w:t>
      </w:r>
    </w:p>
    <w:p>
      <w:pPr>
        <w:spacing w:after="0" w:line="121" w:lineRule="exact"/>
        <w:rPr>
          <w:sz w:val="20"/>
          <w:szCs w:val="20"/>
          <w:color w:val="auto"/>
        </w:rPr>
      </w:pPr>
    </w:p>
    <w:p>
      <w:pPr>
        <w:ind w:left="440" w:firstLine="419"/>
        <w:spacing w:after="0" w:line="261" w:lineRule="auto"/>
        <w:tabs>
          <w:tab w:leader="none" w:pos="1108"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a “person” or “group” within the meaning of Section 13(d) of the Exchange Act, other than the Company, its Wholly Owned Subsidiaries, the employee benefit plans of the Company and its Wholly Owned Subsidiaries and any Permitted Holder files a Schedule TO or any schedule, form or report under the Exchange Act disclosing that such person or group has become the direct or indirect “beneficial owner,” as defined in Rule 13d-3 under the Exchange Act, of the Common Stock and/or the Class</w:t>
      </w:r>
    </w:p>
    <w:p>
      <w:pPr>
        <w:spacing w:after="0" w:line="11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w:t>
      </w:r>
    </w:p>
    <w:p>
      <w:pPr>
        <w:sectPr>
          <w:pgSz w:w="11900" w:h="16838" w:orient="portrait"/>
          <w:cols w:equalWidth="0" w:num="1">
            <w:col w:w="11000"/>
          </w:cols>
          <w:pgMar w:left="440" w:top="266" w:right="459" w:bottom="1440" w:gutter="0" w:footer="0" w:header="0"/>
        </w:sectPr>
      </w:pPr>
    </w:p>
    <w:bookmarkStart w:id="16" w:name="page17"/>
    <w:bookmarkEnd w:id="16"/>
    <w:p>
      <w:pPr>
        <w:ind w:left="440" w:right="60"/>
        <w:spacing w:after="0" w:line="255"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B Common Stock representing more than 50% of the voting power of the Common Stock and the Class B Common Stock taken together, or (B) a “person” or “group” within the meaning of Section 13(d) of the Exchange Act, other than the Company, its Wholly Owned Subsidiaries and the employee benefit plans of the Company and its Wholly Owned Subsidiaries, files a Schedule TO or any schedule, form or report under the Exchange Act disclosing that such person or group has become the direct or indirect “beneficial owner,” as defined in Rule 13d-3 under the Exchange Act, of the Common Stock representing more than 50% of the total outstanding Common Stock;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none of (i) “beneficial ownership” of shares of Class B Common Stock or (ii) “beneficial ownership” by Permitted Holders of Common Stock received upon conversion of shares of Class B Common Stock shall constitute, for purposes of this clause (B), “beneficial ownership” of the Common Stock;</w:t>
      </w:r>
    </w:p>
    <w:p>
      <w:pPr>
        <w:spacing w:after="0" w:line="81" w:lineRule="exact"/>
        <w:rPr>
          <w:sz w:val="20"/>
          <w:szCs w:val="20"/>
          <w:color w:val="auto"/>
        </w:rPr>
      </w:pPr>
    </w:p>
    <w:p>
      <w:pPr>
        <w:ind w:left="440" w:firstLine="419"/>
        <w:spacing w:after="0" w:line="253" w:lineRule="auto"/>
        <w:tabs>
          <w:tab w:leader="none" w:pos="1118"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consummation of (A) any recapitalization, reclassification or change of the Common Stock (other than changes resulting from a subdivision, combination or change in par value) as a result of which the Common Stock would be converted into, or exchanged for, stock, other securities, other property or assets; (B) any share exchange, consolidation or merger of the Company pursuant to which the Common Stock will be converted into cash, securities or other property or assets; or (C) any sale, lease or other transfer in one transaction or a series of related transactions of all or substantially all of the consolidated assets of the Company and its Subsidiaries, taken as a whole, to any Person other than one or more of the Company’s Wholly Owned Subsidiaries; </w:t>
      </w:r>
      <w:r>
        <w:rPr>
          <w:rFonts w:ascii="Times New Roman" w:cs="Times New Roman" w:eastAsia="Times New Roman" w:hAnsi="Times New Roman"/>
          <w:sz w:val="18"/>
          <w:szCs w:val="18"/>
          <w:i w:val="1"/>
          <w:iCs w:val="1"/>
          <w:color w:val="auto"/>
        </w:rPr>
        <w:t>provided, however</w:t>
      </w:r>
      <w:r>
        <w:rPr>
          <w:rFonts w:ascii="Times New Roman" w:cs="Times New Roman" w:eastAsia="Times New Roman" w:hAnsi="Times New Roman"/>
          <w:sz w:val="18"/>
          <w:szCs w:val="18"/>
          <w:color w:val="auto"/>
        </w:rPr>
        <w:t>, that neither (i) a transaction described in clause (A) or (B) in which the holders of all classes of the Company’s Common Equity immediately prior to such transaction own, directly or indirectly, more than 50% of all classes of Common Equity of the continuing or surviving corporation or transferee or the parent thereof immediately after such transaction in substantially the same proportions as such ownership immediately prior to such transaction nor (ii) any merger of the Company solely for the purpose of changing the Company’s jurisdiction of incorporation that results in a reclassification, conversion or exchange of outstanding shares of the Common Stock solely into shares of common stock of the surviving entity that is “listed stock” (as defined below) and such “listed stock” becomes the Reference Property for the Notes shall be a Fundamental Change pursuant to this clause (b);</w:t>
      </w:r>
    </w:p>
    <w:p>
      <w:pPr>
        <w:spacing w:after="0" w:line="81" w:lineRule="exact"/>
        <w:rPr>
          <w:rFonts w:ascii="Times New Roman" w:cs="Times New Roman" w:eastAsia="Times New Roman" w:hAnsi="Times New Roman"/>
          <w:sz w:val="18"/>
          <w:szCs w:val="18"/>
          <w:color w:val="auto"/>
        </w:rPr>
      </w:pPr>
    </w:p>
    <w:p>
      <w:pPr>
        <w:ind w:left="1100" w:hanging="241"/>
        <w:spacing w:after="0"/>
        <w:tabs>
          <w:tab w:leader="none" w:pos="1100"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stockholders of the Company approve any plan or proposal for the liquidation or dissolution of the Company; or</w:t>
      </w:r>
    </w:p>
    <w:p>
      <w:pPr>
        <w:spacing w:after="0" w:line="117" w:lineRule="exact"/>
        <w:rPr>
          <w:rFonts w:ascii="Times New Roman" w:cs="Times New Roman" w:eastAsia="Times New Roman" w:hAnsi="Times New Roman"/>
          <w:sz w:val="18"/>
          <w:szCs w:val="18"/>
          <w:color w:val="auto"/>
        </w:rPr>
      </w:pPr>
    </w:p>
    <w:p>
      <w:pPr>
        <w:ind w:left="440" w:right="760" w:firstLine="419"/>
        <w:spacing w:after="0" w:line="282" w:lineRule="auto"/>
        <w:tabs>
          <w:tab w:leader="none" w:pos="1118"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Common Stock (or other common stock underlying the Notes) ceases to be listed or quoted on any of The New York Stock Exchange, The Nasdaq Global Select Market or The Nasdaq Global Market (or any of their respective successors);</w:t>
      </w:r>
    </w:p>
    <w:p>
      <w:pPr>
        <w:spacing w:after="0" w:line="160" w:lineRule="exact"/>
        <w:rPr>
          <w:sz w:val="20"/>
          <w:szCs w:val="20"/>
          <w:color w:val="auto"/>
        </w:rPr>
      </w:pPr>
    </w:p>
    <w:p>
      <w:pPr>
        <w:ind w:right="200"/>
        <w:spacing w:after="0" w:line="261" w:lineRule="auto"/>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a transaction or transactions described in clause (a) or clause (b) above shall not constitute a Fundamental Change, if at least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90% of the consideration received or to be received by the common stockholders of the Company, excluding cash payments for fractional shares or pursuant to statutory appraisal rights, in connection with such transaction or transactions consists of shares of common stock or other Common Equity that are listed or</w:t>
      </w:r>
    </w:p>
    <w:p>
      <w:pPr>
        <w:spacing w:after="0" w:line="114"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6</w:t>
      </w:r>
    </w:p>
    <w:p>
      <w:pPr>
        <w:sectPr>
          <w:pgSz w:w="11900" w:h="16838" w:orient="portrait"/>
          <w:cols w:equalWidth="0" w:num="1">
            <w:col w:w="11000"/>
          </w:cols>
          <w:pgMar w:left="440" w:top="270" w:right="459" w:bottom="1440" w:gutter="0" w:footer="0" w:header="0"/>
        </w:sectPr>
      </w:pPr>
    </w:p>
    <w:bookmarkStart w:id="17" w:name="page18"/>
    <w:bookmarkEnd w:id="17"/>
    <w:p>
      <w:pPr>
        <w:ind w:right="80"/>
        <w:spacing w:after="0" w:line="255"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quoted on any of The New York Stock Exchange, The Nasdaq Global Select Market or The Nasdaq Global Market (or any of their respective successors) or will be so listed or quoted when issued or exchanged in connection with such transaction or transactions and as a result of such transaction or transactions the Notes become convertible into such consideration (“</w:t>
      </w:r>
      <w:r>
        <w:rPr>
          <w:rFonts w:ascii="Times New Roman" w:cs="Times New Roman" w:eastAsia="Times New Roman" w:hAnsi="Times New Roman"/>
          <w:sz w:val="18"/>
          <w:szCs w:val="18"/>
          <w:b w:val="1"/>
          <w:bCs w:val="1"/>
          <w:color w:val="auto"/>
        </w:rPr>
        <w:t>listed stock</w:t>
      </w:r>
      <w:r>
        <w:rPr>
          <w:rFonts w:ascii="Times New Roman" w:cs="Times New Roman" w:eastAsia="Times New Roman" w:hAnsi="Times New Roman"/>
          <w:sz w:val="18"/>
          <w:szCs w:val="18"/>
          <w:color w:val="auto"/>
        </w:rPr>
        <w:t>”), excluding cash payments for fractional shares or pursuant to statutory appraisal rights (subject to the provisions of Section 14.02(a)). If any transaction in which the Common Stock is replaced by the securities of another entity occurs, following completion of any related Make-Whole Fundamental Change Period (or, in the case of a transaction that would have been a Fundamental Change or a Make-Whole Fundamental Change but for the proviso immediately following clause (d) of this definition, following the effective date of such transaction), references to the Company in this definition shall instead be references to such other entity.</w:t>
      </w:r>
    </w:p>
    <w:p>
      <w:pPr>
        <w:spacing w:after="0" w:line="18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Fundamental Change Company Notice</w:t>
      </w:r>
      <w:r>
        <w:rPr>
          <w:rFonts w:ascii="Times New Roman" w:cs="Times New Roman" w:eastAsia="Times New Roman" w:hAnsi="Times New Roman"/>
          <w:sz w:val="18"/>
          <w:szCs w:val="18"/>
          <w:color w:val="auto"/>
        </w:rPr>
        <w:t>” shall have the meaning specified in Section 15.02(c).</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Fundamental Change Repurchase Date</w:t>
      </w:r>
      <w:r>
        <w:rPr>
          <w:rFonts w:ascii="Times New Roman" w:cs="Times New Roman" w:eastAsia="Times New Roman" w:hAnsi="Times New Roman"/>
          <w:sz w:val="18"/>
          <w:szCs w:val="18"/>
          <w:color w:val="auto"/>
        </w:rPr>
        <w:t>” shall have the meaning specified in Section 15.02(a).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Fundamental Change Repurchase Notice</w:t>
      </w:r>
      <w:r>
        <w:rPr>
          <w:rFonts w:ascii="Times New Roman" w:cs="Times New Roman" w:eastAsia="Times New Roman" w:hAnsi="Times New Roman"/>
          <w:sz w:val="18"/>
          <w:szCs w:val="18"/>
          <w:color w:val="auto"/>
        </w:rPr>
        <w:t>” shall have the meaning specified in Section 15.02(b)(i).</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Fundamental Change Repurchase Price</w:t>
      </w:r>
      <w:r>
        <w:rPr>
          <w:rFonts w:ascii="Times New Roman" w:cs="Times New Roman" w:eastAsia="Times New Roman" w:hAnsi="Times New Roman"/>
          <w:sz w:val="18"/>
          <w:szCs w:val="18"/>
          <w:color w:val="auto"/>
        </w:rPr>
        <w:t>” shall have the meaning specified in Section 15.02(a).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Global Note</w:t>
      </w:r>
      <w:r>
        <w:rPr>
          <w:rFonts w:ascii="Times New Roman" w:cs="Times New Roman" w:eastAsia="Times New Roman" w:hAnsi="Times New Roman"/>
          <w:sz w:val="18"/>
          <w:szCs w:val="18"/>
          <w:color w:val="auto"/>
        </w:rPr>
        <w:t>” shall have the meaning specified in Section 2.05(b).</w:t>
      </w:r>
    </w:p>
    <w:p>
      <w:pPr>
        <w:spacing w:after="0" w:line="225" w:lineRule="exact"/>
        <w:rPr>
          <w:sz w:val="20"/>
          <w:szCs w:val="20"/>
          <w:color w:val="auto"/>
        </w:rPr>
      </w:pPr>
    </w:p>
    <w:p>
      <w:pPr>
        <w:ind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Holder</w:t>
      </w:r>
      <w:r>
        <w:rPr>
          <w:rFonts w:ascii="Times New Roman" w:cs="Times New Roman" w:eastAsia="Times New Roman" w:hAnsi="Times New Roman"/>
          <w:sz w:val="18"/>
          <w:szCs w:val="18"/>
          <w:color w:val="auto"/>
        </w:rPr>
        <w:t>,” as applied to any Note, or other similar terms (but excluding the term “beneficial holder”), means any Person in whose name at the time a particular Note is registered on the Note Register.</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Indenture</w:t>
      </w:r>
      <w:r>
        <w:rPr>
          <w:rFonts w:ascii="Times New Roman" w:cs="Times New Roman" w:eastAsia="Times New Roman" w:hAnsi="Times New Roman"/>
          <w:sz w:val="18"/>
          <w:szCs w:val="18"/>
          <w:color w:val="auto"/>
        </w:rPr>
        <w:t>” means this instrument as originally executed or, if amended or supplemented as herein provided, as so amended or supplemented.</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Initial Purchasers</w:t>
      </w:r>
      <w:r>
        <w:rPr>
          <w:rFonts w:ascii="Times New Roman" w:cs="Times New Roman" w:eastAsia="Times New Roman" w:hAnsi="Times New Roman"/>
          <w:sz w:val="18"/>
          <w:szCs w:val="18"/>
          <w:color w:val="auto"/>
        </w:rPr>
        <w:t>” means the several purchasers named in Schedule I to the Purchase Agreement.</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Interest Payment Date</w:t>
      </w:r>
      <w:r>
        <w:rPr>
          <w:rFonts w:ascii="Times New Roman" w:cs="Times New Roman" w:eastAsia="Times New Roman" w:hAnsi="Times New Roman"/>
          <w:sz w:val="18"/>
          <w:szCs w:val="18"/>
          <w:color w:val="auto"/>
        </w:rPr>
        <w:t>” means each June 15 and December 15 of each year, beginning on December 15, 2024.</w:t>
      </w:r>
    </w:p>
    <w:p>
      <w:pPr>
        <w:spacing w:after="0" w:line="225" w:lineRule="exact"/>
        <w:rPr>
          <w:sz w:val="20"/>
          <w:szCs w:val="20"/>
          <w:color w:val="auto"/>
        </w:rPr>
      </w:pPr>
    </w:p>
    <w:p>
      <w:pPr>
        <w:ind w:firstLine="440"/>
        <w:spacing w:after="0" w:line="255"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Last Reported Sale Price</w:t>
      </w:r>
      <w:r>
        <w:rPr>
          <w:rFonts w:ascii="Times New Roman" w:cs="Times New Roman" w:eastAsia="Times New Roman" w:hAnsi="Times New Roman"/>
          <w:sz w:val="18"/>
          <w:szCs w:val="18"/>
          <w:color w:val="auto"/>
        </w:rPr>
        <w:t>” of the Common Stock on any date means the closing sale price per share (or if no closing sale price is reported, the average of the bid and ask prices or, if more than one in either case, the average of the average bid and the average ask prices) on that date as reported in composite transactions for the principal U.S. national or regional securities exchange on which the Common Stock is traded. If the Common Stock is not listed for trading on a U.S. national or regional securities exchange on the relevant date, the “</w:t>
      </w:r>
      <w:r>
        <w:rPr>
          <w:rFonts w:ascii="Times New Roman" w:cs="Times New Roman" w:eastAsia="Times New Roman" w:hAnsi="Times New Roman"/>
          <w:sz w:val="18"/>
          <w:szCs w:val="18"/>
          <w:b w:val="1"/>
          <w:bCs w:val="1"/>
          <w:color w:val="auto"/>
        </w:rPr>
        <w:t>Last Reported Sale Price</w:t>
      </w:r>
      <w:r>
        <w:rPr>
          <w:rFonts w:ascii="Times New Roman" w:cs="Times New Roman" w:eastAsia="Times New Roman" w:hAnsi="Times New Roman"/>
          <w:sz w:val="18"/>
          <w:szCs w:val="18"/>
          <w:color w:val="auto"/>
        </w:rPr>
        <w:t>” shall be the last quoted bid price for the Common Stock in the over-the-counter market on the relevant date as reported by OTC Markets Group Inc. or a similar organization. If the Common Stock is not so quoted, the “</w:t>
      </w:r>
      <w:r>
        <w:rPr>
          <w:rFonts w:ascii="Times New Roman" w:cs="Times New Roman" w:eastAsia="Times New Roman" w:hAnsi="Times New Roman"/>
          <w:sz w:val="18"/>
          <w:szCs w:val="18"/>
          <w:b w:val="1"/>
          <w:bCs w:val="1"/>
          <w:color w:val="auto"/>
        </w:rPr>
        <w:t>Last Reported Sale Price</w:t>
      </w:r>
      <w:r>
        <w:rPr>
          <w:rFonts w:ascii="Times New Roman" w:cs="Times New Roman" w:eastAsia="Times New Roman" w:hAnsi="Times New Roman"/>
          <w:sz w:val="18"/>
          <w:szCs w:val="18"/>
          <w:color w:val="auto"/>
        </w:rPr>
        <w:t>” shall be the average of the mid-point of the last bid and ask prices for the Common Stock on the relevant date from each of at least three nationally recognized independent investment banking firms selected by the Company for this purpose.</w:t>
      </w:r>
    </w:p>
    <w:p>
      <w:pPr>
        <w:spacing w:after="0" w:line="12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7</w:t>
      </w:r>
    </w:p>
    <w:p>
      <w:pPr>
        <w:sectPr>
          <w:pgSz w:w="11900" w:h="16838" w:orient="portrait"/>
          <w:cols w:equalWidth="0" w:num="1">
            <w:col w:w="11000"/>
          </w:cols>
          <w:pgMar w:left="440" w:top="270" w:right="459" w:bottom="1440" w:gutter="0" w:footer="0" w:header="0"/>
        </w:sectPr>
      </w:pPr>
    </w:p>
    <w:bookmarkStart w:id="18" w:name="page19"/>
    <w:bookmarkEnd w:id="18"/>
    <w:p>
      <w:pPr>
        <w:ind w:right="120" w:firstLine="440"/>
        <w:spacing w:after="0" w:line="26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a:extLst>
                        <a:ext uri="{28A0092B-C50C-407E-A947-70E740481C1C}"/>
                      </a:extLst>
                    </a:blip>
                    <a:srcRect/>
                    <a:stretch>
                      <a:fillRect/>
                    </a:stretch>
                  </pic:blipFill>
                  <pic:spPr bwMode="auto">
                    <a:xfrm>
                      <a:off x="0" y="0"/>
                      <a:ext cx="7174865" cy="38100"/>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Make-Whole Fundamental Change</w:t>
      </w:r>
      <w:r>
        <w:rPr>
          <w:rFonts w:ascii="Times New Roman" w:cs="Times New Roman" w:eastAsia="Times New Roman" w:hAnsi="Times New Roman"/>
          <w:sz w:val="18"/>
          <w:szCs w:val="18"/>
          <w:color w:val="auto"/>
        </w:rPr>
        <w:t xml:space="preserve">” means any transaction or event that constitutes a Fundamental Change (as defined above and determined after giving effect to any exceptions to or exclusions from such definition, but without regard to clause (i) of the </w:t>
      </w:r>
      <w:r>
        <w:rPr>
          <w:rFonts w:ascii="Times New Roman" w:cs="Times New Roman" w:eastAsia="Times New Roman" w:hAnsi="Times New Roman"/>
          <w:sz w:val="18"/>
          <w:szCs w:val="18"/>
          <w:i w:val="1"/>
          <w:iCs w:val="1"/>
          <w:color w:val="auto"/>
        </w:rPr>
        <w:t>proviso</w:t>
      </w:r>
      <w:r>
        <w:rPr>
          <w:rFonts w:ascii="Times New Roman" w:cs="Times New Roman" w:eastAsia="Times New Roman" w:hAnsi="Times New Roman"/>
          <w:sz w:val="18"/>
          <w:szCs w:val="18"/>
          <w:color w:val="auto"/>
        </w:rPr>
        <w:t xml:space="preserve"> in clause (b) of the definition thereof).</w:t>
      </w:r>
    </w:p>
    <w:p>
      <w:pPr>
        <w:spacing w:after="0" w:line="17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Make-Whole Fundamental Change Period</w:t>
      </w:r>
      <w:r>
        <w:rPr>
          <w:rFonts w:ascii="Times New Roman" w:cs="Times New Roman" w:eastAsia="Times New Roman" w:hAnsi="Times New Roman"/>
          <w:sz w:val="18"/>
          <w:szCs w:val="18"/>
          <w:color w:val="auto"/>
        </w:rPr>
        <w:t>” shall have the meaning specified in Section 14.03(a).</w:t>
      </w:r>
    </w:p>
    <w:p>
      <w:pPr>
        <w:spacing w:after="0" w:line="225" w:lineRule="exact"/>
        <w:rPr>
          <w:sz w:val="20"/>
          <w:szCs w:val="20"/>
          <w:color w:val="auto"/>
        </w:rPr>
      </w:pPr>
    </w:p>
    <w:p>
      <w:pPr>
        <w:ind w:right="20" w:firstLine="440"/>
        <w:spacing w:after="0" w:line="257"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Market Disruption Event</w:t>
      </w:r>
      <w:r>
        <w:rPr>
          <w:rFonts w:ascii="Times New Roman" w:cs="Times New Roman" w:eastAsia="Times New Roman" w:hAnsi="Times New Roman"/>
          <w:sz w:val="18"/>
          <w:szCs w:val="18"/>
          <w:color w:val="auto"/>
        </w:rPr>
        <w:t>” means, for the purposes of determining amounts due upon conversion (a) a failure by the primary U.S. national or regional securities exchange or market on which the Common Stock is listed or admitted for trading to open for trading during its regular trading session or (b) the occurrence or existence prior to 1:00 p.m., New York City time, on any Scheduled Trading Day for the Common Stock for more than one half-hour period in the aggregate during regular trading hours of any suspension or limitation imposed on trading (by reason of movements in price exceeding limits permitted by the relevant stock exchange or otherwise) in the Common Stock or in any options contracts or futures contracts relating to the Common Stock.</w:t>
      </w:r>
    </w:p>
    <w:p>
      <w:pPr>
        <w:spacing w:after="0" w:line="182"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Maturity Date</w:t>
      </w:r>
      <w:r>
        <w:rPr>
          <w:rFonts w:ascii="Times New Roman" w:cs="Times New Roman" w:eastAsia="Times New Roman" w:hAnsi="Times New Roman"/>
          <w:sz w:val="18"/>
          <w:szCs w:val="18"/>
          <w:color w:val="auto"/>
        </w:rPr>
        <w:t>” means June 15, 2032.</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Measurement Period</w:t>
      </w:r>
      <w:r>
        <w:rPr>
          <w:rFonts w:ascii="Times New Roman" w:cs="Times New Roman" w:eastAsia="Times New Roman" w:hAnsi="Times New Roman"/>
          <w:sz w:val="18"/>
          <w:szCs w:val="18"/>
          <w:color w:val="auto"/>
        </w:rPr>
        <w:t>” shall have the meaning specified in Section 14.01(b)(i).</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Note</w:t>
      </w:r>
      <w:r>
        <w:rPr>
          <w:rFonts w:ascii="Times New Roman" w:cs="Times New Roman" w:eastAsia="Times New Roman" w:hAnsi="Times New Roman"/>
          <w:sz w:val="18"/>
          <w:szCs w:val="18"/>
          <w:color w:val="auto"/>
        </w:rPr>
        <w:t>” or “</w:t>
      </w:r>
      <w:r>
        <w:rPr>
          <w:rFonts w:ascii="Times New Roman" w:cs="Times New Roman" w:eastAsia="Times New Roman" w:hAnsi="Times New Roman"/>
          <w:sz w:val="18"/>
          <w:szCs w:val="18"/>
          <w:b w:val="1"/>
          <w:bCs w:val="1"/>
          <w:color w:val="auto"/>
        </w:rPr>
        <w:t>Notes</w:t>
      </w:r>
      <w:r>
        <w:rPr>
          <w:rFonts w:ascii="Times New Roman" w:cs="Times New Roman" w:eastAsia="Times New Roman" w:hAnsi="Times New Roman"/>
          <w:sz w:val="18"/>
          <w:szCs w:val="18"/>
          <w:color w:val="auto"/>
        </w:rPr>
        <w:t>” shall have the meaning specified in the first paragraph of the recitals of this Indenture.</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Note Register</w:t>
      </w:r>
      <w:r>
        <w:rPr>
          <w:rFonts w:ascii="Times New Roman" w:cs="Times New Roman" w:eastAsia="Times New Roman" w:hAnsi="Times New Roman"/>
          <w:sz w:val="18"/>
          <w:szCs w:val="18"/>
          <w:color w:val="auto"/>
        </w:rPr>
        <w:t>” shall have the meaning specified in Section 2.05(a).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Note Registrar</w:t>
      </w:r>
      <w:r>
        <w:rPr>
          <w:rFonts w:ascii="Times New Roman" w:cs="Times New Roman" w:eastAsia="Times New Roman" w:hAnsi="Times New Roman"/>
          <w:sz w:val="18"/>
          <w:szCs w:val="18"/>
          <w:color w:val="auto"/>
        </w:rPr>
        <w:t>” shall have the meaning specified in Section 2.05(a).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Notice of Conversion</w:t>
      </w:r>
      <w:r>
        <w:rPr>
          <w:rFonts w:ascii="Times New Roman" w:cs="Times New Roman" w:eastAsia="Times New Roman" w:hAnsi="Times New Roman"/>
          <w:sz w:val="18"/>
          <w:szCs w:val="18"/>
          <w:color w:val="auto"/>
        </w:rPr>
        <w:t>” shall have the meaning specified in Section 14.02(b).</w:t>
      </w:r>
    </w:p>
    <w:p>
      <w:pPr>
        <w:spacing w:after="0" w:line="225" w:lineRule="exact"/>
        <w:rPr>
          <w:sz w:val="20"/>
          <w:szCs w:val="20"/>
          <w:color w:val="auto"/>
        </w:rPr>
      </w:pPr>
    </w:p>
    <w:p>
      <w:pPr>
        <w:ind w:firstLine="440"/>
        <w:spacing w:after="0" w:line="25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Observation Period</w:t>
      </w:r>
      <w:r>
        <w:rPr>
          <w:rFonts w:ascii="Times New Roman" w:cs="Times New Roman" w:eastAsia="Times New Roman" w:hAnsi="Times New Roman"/>
          <w:sz w:val="18"/>
          <w:szCs w:val="18"/>
          <w:color w:val="auto"/>
        </w:rPr>
        <w:t>” with respect to any Note surrendered for conversion means: (i) subject to clause (ii), if the relevant Conversion Date occurs prior to December 15, 2031, the 20 consecutive Trading Day period beginning on, and including, the second Trading Day immediately succeeding such Conversion Date; (ii) if the relevant Conversion Date occurs on or after the date of the Company’s issuance of a Redemption Notice with respect to the Notes pursuant to Section 16.02 and prior to the close of business on the second Scheduled Trading Day immediately preceding the relevant Redemption Date, the 20 consecutive Trading Days beginning on, and including, the 21st Scheduled Trading Day immediately preceding such Redemption Date; and (iii) subject to clause (ii), if the relevant Conversion Date occurs on or after December 15, 2031, the 20 consecutive Trading Days beginning on, and including, the 21st Scheduled Trading Day immediately preceding the Maturity Date.</w:t>
      </w:r>
    </w:p>
    <w:p>
      <w:pPr>
        <w:spacing w:after="0" w:line="119"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8</w:t>
      </w:r>
    </w:p>
    <w:p>
      <w:pPr>
        <w:sectPr>
          <w:pgSz w:w="11900" w:h="16838" w:orient="portrait"/>
          <w:cols w:equalWidth="0" w:num="1">
            <w:col w:w="11000"/>
          </w:cols>
          <w:pgMar w:left="440" w:top="266" w:right="459" w:bottom="1440" w:gutter="0" w:footer="0" w:header="0"/>
        </w:sectPr>
      </w:pPr>
    </w:p>
    <w:bookmarkStart w:id="19" w:name="page20"/>
    <w:bookmarkEnd w:id="19"/>
    <w:p>
      <w:pPr>
        <w:ind w:right="140" w:firstLine="440"/>
        <w:spacing w:after="0" w:line="28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Offering Memorandum</w:t>
      </w:r>
      <w:r>
        <w:rPr>
          <w:rFonts w:ascii="Times New Roman" w:cs="Times New Roman" w:eastAsia="Times New Roman" w:hAnsi="Times New Roman"/>
          <w:sz w:val="18"/>
          <w:szCs w:val="18"/>
          <w:color w:val="auto"/>
        </w:rPr>
        <w:t>” means the preliminary offering memorandum dated June 13, 2024, as supplemented by the related pricing term sheet dated June 13, 2024, relating to the offering and sale of the Notes.</w:t>
      </w:r>
    </w:p>
    <w:p>
      <w:pPr>
        <w:spacing w:after="0" w:line="155" w:lineRule="exact"/>
        <w:rPr>
          <w:sz w:val="20"/>
          <w:szCs w:val="20"/>
          <w:color w:val="auto"/>
        </w:rPr>
      </w:pPr>
    </w:p>
    <w:p>
      <w:pPr>
        <w:jc w:val="both"/>
        <w:ind w:right="20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Officer</w:t>
      </w:r>
      <w:r>
        <w:rPr>
          <w:rFonts w:ascii="Times New Roman" w:cs="Times New Roman" w:eastAsia="Times New Roman" w:hAnsi="Times New Roman"/>
          <w:sz w:val="18"/>
          <w:szCs w:val="18"/>
          <w:color w:val="auto"/>
        </w:rPr>
        <w:t>” means, with respect to the Company, the Executive Chairman, the President, the Chief Executive Officer, Chief Financial Officer, the Chief Accounting Officer, the Treasurer, the Secretary, any Executive or Senior Vice President or any Vice President (whether or not designated by a number or numbers or word or words added before or after the title “Vice President”).</w:t>
      </w:r>
    </w:p>
    <w:p>
      <w:pPr>
        <w:spacing w:after="0" w:line="171" w:lineRule="exact"/>
        <w:rPr>
          <w:sz w:val="20"/>
          <w:szCs w:val="20"/>
          <w:color w:val="auto"/>
        </w:rPr>
      </w:pPr>
    </w:p>
    <w:p>
      <w:pPr>
        <w:ind w:right="180"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Officer’s Certificate</w:t>
      </w:r>
      <w:r>
        <w:rPr>
          <w:rFonts w:ascii="Times New Roman" w:cs="Times New Roman" w:eastAsia="Times New Roman" w:hAnsi="Times New Roman"/>
          <w:sz w:val="18"/>
          <w:szCs w:val="18"/>
          <w:color w:val="auto"/>
        </w:rPr>
        <w:t>,” when used with respect to the Company, means a certificate that is delivered to the Trustee and that is signed an Officer of the Company. Each such certificate shall include the statements provided for in Section 17.05 if and to the extent required by the provisions of such Section. The Officer giving an Officer’s Certificate pursuant to Section 4.08 shall be the principal executive, financial or accounting officer of the Company.</w:t>
      </w:r>
    </w:p>
    <w:p>
      <w:pPr>
        <w:spacing w:after="0" w:line="176"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open of business</w:t>
      </w:r>
      <w:r>
        <w:rPr>
          <w:rFonts w:ascii="Times New Roman" w:cs="Times New Roman" w:eastAsia="Times New Roman" w:hAnsi="Times New Roman"/>
          <w:sz w:val="18"/>
          <w:szCs w:val="18"/>
          <w:color w:val="auto"/>
        </w:rPr>
        <w:t>” means 9:00 a.m. (New York City time).</w:t>
      </w:r>
    </w:p>
    <w:p>
      <w:pPr>
        <w:spacing w:after="0" w:line="225" w:lineRule="exact"/>
        <w:rPr>
          <w:sz w:val="20"/>
          <w:szCs w:val="20"/>
          <w:color w:val="auto"/>
        </w:rPr>
      </w:pPr>
    </w:p>
    <w:p>
      <w:pPr>
        <w:ind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Opinion of Counsel</w:t>
      </w:r>
      <w:r>
        <w:rPr>
          <w:rFonts w:ascii="Times New Roman" w:cs="Times New Roman" w:eastAsia="Times New Roman" w:hAnsi="Times New Roman"/>
          <w:sz w:val="18"/>
          <w:szCs w:val="18"/>
          <w:color w:val="auto"/>
        </w:rPr>
        <w:t>” means an opinion in writing signed by legal counsel, who may be an employee of or counsel to the Company, or other counsel acceptable to the Trustee, that is delivered to the Trustee, which opinion may contain customary exceptions and qualifications as to the matters set forth therein and which legal counsel may, in providing such opinion, rely upon certifications or other representations as to matters of fact. Each such opinion shall include the statements provided for in Section 17.05 if and to the extent required by the provisions of such Section 17.05.</w:t>
      </w:r>
    </w:p>
    <w:p>
      <w:pPr>
        <w:spacing w:after="0" w:line="176"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Optional Redemption</w:t>
      </w:r>
      <w:r>
        <w:rPr>
          <w:rFonts w:ascii="Times New Roman" w:cs="Times New Roman" w:eastAsia="Times New Roman" w:hAnsi="Times New Roman"/>
          <w:sz w:val="18"/>
          <w:szCs w:val="18"/>
          <w:color w:val="auto"/>
        </w:rPr>
        <w:t>” shall have the meaning specified in Section 16.01.</w:t>
      </w:r>
    </w:p>
    <w:p>
      <w:pPr>
        <w:spacing w:after="0" w:line="225" w:lineRule="exact"/>
        <w:rPr>
          <w:sz w:val="20"/>
          <w:szCs w:val="20"/>
          <w:color w:val="auto"/>
        </w:rPr>
      </w:pPr>
    </w:p>
    <w:p>
      <w:pPr>
        <w:ind w:right="44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outstanding</w:t>
      </w:r>
      <w:r>
        <w:rPr>
          <w:rFonts w:ascii="Times New Roman" w:cs="Times New Roman" w:eastAsia="Times New Roman" w:hAnsi="Times New Roman"/>
          <w:sz w:val="18"/>
          <w:szCs w:val="18"/>
          <w:color w:val="auto"/>
        </w:rPr>
        <w:t>,” when used with reference to Notes, shall, subject to the provisions of Section 8.04, mean, as of any particular time, all Notes authenticated and delivered by the Trustee under this Indenture, except:</w:t>
      </w:r>
    </w:p>
    <w:p>
      <w:pPr>
        <w:spacing w:after="0" w:line="51" w:lineRule="exact"/>
        <w:rPr>
          <w:sz w:val="20"/>
          <w:szCs w:val="20"/>
          <w:color w:val="auto"/>
        </w:rPr>
      </w:pPr>
    </w:p>
    <w:p>
      <w:pPr>
        <w:ind w:left="1100" w:hanging="241"/>
        <w:spacing w:after="0"/>
        <w:tabs>
          <w:tab w:leader="none" w:pos="1100"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Notes theretofore canceled by the Trustee or accepted by the Trustee for cancellation;</w:t>
      </w:r>
    </w:p>
    <w:p>
      <w:pPr>
        <w:spacing w:after="0" w:line="117" w:lineRule="exact"/>
        <w:rPr>
          <w:rFonts w:ascii="Times New Roman" w:cs="Times New Roman" w:eastAsia="Times New Roman" w:hAnsi="Times New Roman"/>
          <w:sz w:val="18"/>
          <w:szCs w:val="18"/>
          <w:color w:val="auto"/>
        </w:rPr>
      </w:pPr>
    </w:p>
    <w:p>
      <w:pPr>
        <w:ind w:left="440" w:right="160" w:firstLine="419"/>
        <w:spacing w:after="0" w:line="266" w:lineRule="auto"/>
        <w:tabs>
          <w:tab w:leader="none" w:pos="1118"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Notes, or portions thereof, that have become due and payable and in respect of which monies in the necessary amount shall have been deposited in trust with the Trustee or with any Paying Agent (other than the Company) or shall have been set aside and segregated in trust by the Company (if the Company shall act as its own Paying Agent);</w:t>
      </w:r>
    </w:p>
    <w:p>
      <w:pPr>
        <w:spacing w:after="0" w:line="67" w:lineRule="exact"/>
        <w:rPr>
          <w:rFonts w:ascii="Times New Roman" w:cs="Times New Roman" w:eastAsia="Times New Roman" w:hAnsi="Times New Roman"/>
          <w:sz w:val="18"/>
          <w:szCs w:val="18"/>
          <w:color w:val="auto"/>
        </w:rPr>
      </w:pPr>
    </w:p>
    <w:p>
      <w:pPr>
        <w:ind w:left="440" w:right="80" w:firstLine="419"/>
        <w:spacing w:after="0" w:line="266" w:lineRule="auto"/>
        <w:tabs>
          <w:tab w:leader="none" w:pos="1108"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Notes that have been paid pursuant to Section 2.06 or Notes in lieu of which, or in substitution for which, other Notes shall have been authenticated and delivered pursuant to the terms of Section 2.06 unless proof satisfactory to the Trustee is presented that any such Notes are held by protected purchasers in due course;</w:t>
      </w:r>
    </w:p>
    <w:p>
      <w:pPr>
        <w:spacing w:after="0" w:line="108"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9</w:t>
      </w:r>
    </w:p>
    <w:p>
      <w:pPr>
        <w:sectPr>
          <w:pgSz w:w="11900" w:h="16838" w:orient="portrait"/>
          <w:cols w:equalWidth="0" w:num="1">
            <w:col w:w="11000"/>
          </w:cols>
          <w:pgMar w:left="440" w:top="266" w:right="459" w:bottom="1440" w:gutter="0" w:footer="0" w:header="0"/>
        </w:sectPr>
      </w:pPr>
    </w:p>
    <w:bookmarkStart w:id="20" w:name="page21"/>
    <w:bookmarkEnd w:id="20"/>
    <w:p>
      <w:pPr>
        <w:ind w:left="1120" w:hanging="261"/>
        <w:spacing w:after="0"/>
        <w:tabs>
          <w:tab w:leader="none" w:pos="1120" w:val="left"/>
        </w:tabs>
        <w:numPr>
          <w:ilvl w:val="0"/>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Notes converted pursuant to Article 14 and required to be cancelled pursuant to Section 2.08;</w:t>
      </w:r>
    </w:p>
    <w:p>
      <w:pPr>
        <w:spacing w:after="0" w:line="117" w:lineRule="exact"/>
        <w:rPr>
          <w:rFonts w:ascii="Times New Roman" w:cs="Times New Roman" w:eastAsia="Times New Roman" w:hAnsi="Times New Roman"/>
          <w:sz w:val="18"/>
          <w:szCs w:val="18"/>
          <w:color w:val="auto"/>
        </w:rPr>
      </w:pPr>
    </w:p>
    <w:p>
      <w:pPr>
        <w:ind w:left="1100" w:hanging="241"/>
        <w:spacing w:after="0"/>
        <w:tabs>
          <w:tab w:leader="none" w:pos="1100" w:val="left"/>
        </w:tabs>
        <w:numPr>
          <w:ilvl w:val="0"/>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Notes redeemed pursuant to Article 16; and</w:t>
      </w:r>
    </w:p>
    <w:p>
      <w:pPr>
        <w:spacing w:after="0" w:line="117" w:lineRule="exact"/>
        <w:rPr>
          <w:rFonts w:ascii="Times New Roman" w:cs="Times New Roman" w:eastAsia="Times New Roman" w:hAnsi="Times New Roman"/>
          <w:sz w:val="18"/>
          <w:szCs w:val="18"/>
          <w:color w:val="auto"/>
        </w:rPr>
      </w:pPr>
    </w:p>
    <w:p>
      <w:pPr>
        <w:ind w:left="1080" w:hanging="221"/>
        <w:spacing w:after="0"/>
        <w:tabs>
          <w:tab w:leader="none" w:pos="1080" w:val="left"/>
        </w:tabs>
        <w:numPr>
          <w:ilvl w:val="0"/>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Notes repurchased by the Company pursuant to the penultimate sentence of Section 2.10.</w:t>
      </w:r>
    </w:p>
    <w:p>
      <w:pPr>
        <w:spacing w:after="0" w:line="22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Partial Redemption Limitation</w:t>
      </w:r>
      <w:r>
        <w:rPr>
          <w:rFonts w:ascii="Times New Roman" w:cs="Times New Roman" w:eastAsia="Times New Roman" w:hAnsi="Times New Roman"/>
          <w:sz w:val="18"/>
          <w:szCs w:val="18"/>
          <w:color w:val="auto"/>
        </w:rPr>
        <w:t>” shall have the meaning specified in Section 16.02(d).</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Paying Agent</w:t>
      </w:r>
      <w:r>
        <w:rPr>
          <w:rFonts w:ascii="Times New Roman" w:cs="Times New Roman" w:eastAsia="Times New Roman" w:hAnsi="Times New Roman"/>
          <w:sz w:val="18"/>
          <w:szCs w:val="18"/>
          <w:color w:val="auto"/>
        </w:rPr>
        <w:t>” shall have the meaning specified in Section 4.02.</w:t>
      </w:r>
    </w:p>
    <w:p>
      <w:pPr>
        <w:spacing w:after="0" w:line="225" w:lineRule="exact"/>
        <w:rPr>
          <w:sz w:val="20"/>
          <w:szCs w:val="20"/>
          <w:color w:val="auto"/>
        </w:rPr>
      </w:pPr>
    </w:p>
    <w:p>
      <w:pPr>
        <w:ind w:right="14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Permitted Holder</w:t>
      </w:r>
      <w:r>
        <w:rPr>
          <w:rFonts w:ascii="Times New Roman" w:cs="Times New Roman" w:eastAsia="Times New Roman" w:hAnsi="Times New Roman"/>
          <w:sz w:val="18"/>
          <w:szCs w:val="18"/>
          <w:color w:val="auto"/>
        </w:rPr>
        <w:t>” means any “group” within the meaning of Section 13(d) of the Exchange Act that includes Michael J. Saylor or any of his Affiliates.</w:t>
      </w:r>
    </w:p>
    <w:p>
      <w:pPr>
        <w:spacing w:after="0" w:line="155" w:lineRule="exact"/>
        <w:rPr>
          <w:sz w:val="20"/>
          <w:szCs w:val="20"/>
          <w:color w:val="auto"/>
        </w:rPr>
      </w:pPr>
    </w:p>
    <w:p>
      <w:pPr>
        <w:ind w:right="12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Person</w:t>
      </w:r>
      <w:r>
        <w:rPr>
          <w:rFonts w:ascii="Times New Roman" w:cs="Times New Roman" w:eastAsia="Times New Roman" w:hAnsi="Times New Roman"/>
          <w:sz w:val="18"/>
          <w:szCs w:val="18"/>
          <w:color w:val="auto"/>
        </w:rPr>
        <w:t>” means an individual, a corporation, a limited liability company, an association, a partnership, a joint venture, a joint stock company, a trust, an unincorporated organization or any other entity or organization, including a government or an agency or a political subdivision thereof.</w:t>
      </w:r>
    </w:p>
    <w:p>
      <w:pPr>
        <w:spacing w:after="0" w:line="155" w:lineRule="exact"/>
        <w:rPr>
          <w:sz w:val="20"/>
          <w:szCs w:val="20"/>
          <w:color w:val="auto"/>
        </w:rPr>
      </w:pPr>
    </w:p>
    <w:p>
      <w:pPr>
        <w:ind w:right="54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Physical Notes</w:t>
      </w:r>
      <w:r>
        <w:rPr>
          <w:rFonts w:ascii="Times New Roman" w:cs="Times New Roman" w:eastAsia="Times New Roman" w:hAnsi="Times New Roman"/>
          <w:sz w:val="18"/>
          <w:szCs w:val="18"/>
          <w:color w:val="auto"/>
        </w:rPr>
        <w:t>” means permanent certificated Notes in registered form issued in denominations of $1,000 principal amount and integral multiples thereof.</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Physical Settlement</w:t>
      </w:r>
      <w:r>
        <w:rPr>
          <w:rFonts w:ascii="Times New Roman" w:cs="Times New Roman" w:eastAsia="Times New Roman" w:hAnsi="Times New Roman"/>
          <w:sz w:val="18"/>
          <w:szCs w:val="18"/>
          <w:color w:val="auto"/>
        </w:rPr>
        <w:t>” shall have the meaning specified in Section 14.02(a).</w:t>
      </w:r>
    </w:p>
    <w:p>
      <w:pPr>
        <w:spacing w:after="0" w:line="225" w:lineRule="exact"/>
        <w:rPr>
          <w:sz w:val="20"/>
          <w:szCs w:val="20"/>
          <w:color w:val="auto"/>
        </w:rPr>
      </w:pPr>
    </w:p>
    <w:p>
      <w:pPr>
        <w:ind w:right="280" w:firstLine="440"/>
        <w:spacing w:after="0" w:line="291" w:lineRule="auto"/>
        <w:rPr>
          <w:sz w:val="20"/>
          <w:szCs w:val="20"/>
          <w:color w:val="auto"/>
        </w:rPr>
      </w:pP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b w:val="1"/>
          <w:bCs w:val="1"/>
          <w:color w:val="auto"/>
        </w:rPr>
        <w:t>Predecessor Note</w:t>
      </w:r>
      <w:r>
        <w:rPr>
          <w:rFonts w:ascii="Times New Roman" w:cs="Times New Roman" w:eastAsia="Times New Roman" w:hAnsi="Times New Roman"/>
          <w:sz w:val="17"/>
          <w:szCs w:val="17"/>
          <w:color w:val="auto"/>
        </w:rPr>
        <w:t>” of any particular Note means every previous Note evidencing all or a portion of the same debt as that evidenced by such particular Note; and, for the purposes of this definition, any Note authenticated and delivered under Section 2.06 in lieu of or in exchange for a mutilated, lost, destroyed or stolen Note shall be deemed to evidence the same debt as the mutilated, lost, destroyed or stolen Note that it replaces.</w:t>
      </w:r>
    </w:p>
    <w:p>
      <w:pPr>
        <w:spacing w:after="0" w:line="153"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Purchase Agreement</w:t>
      </w:r>
      <w:r>
        <w:rPr>
          <w:rFonts w:ascii="Times New Roman" w:cs="Times New Roman" w:eastAsia="Times New Roman" w:hAnsi="Times New Roman"/>
          <w:sz w:val="18"/>
          <w:szCs w:val="18"/>
          <w:color w:val="auto"/>
        </w:rPr>
        <w:t>” means that certain Purchase Agreement, dated as of June 13, 2024, among the Company and the Initial Purchasers.</w:t>
      </w:r>
    </w:p>
    <w:p>
      <w:pPr>
        <w:spacing w:after="0" w:line="225" w:lineRule="exact"/>
        <w:rPr>
          <w:sz w:val="20"/>
          <w:szCs w:val="20"/>
          <w:color w:val="auto"/>
        </w:rPr>
      </w:pPr>
    </w:p>
    <w:p>
      <w:pPr>
        <w:ind w:firstLine="440"/>
        <w:spacing w:after="0" w:line="259"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Record Date</w:t>
      </w:r>
      <w:r>
        <w:rPr>
          <w:rFonts w:ascii="Times New Roman" w:cs="Times New Roman" w:eastAsia="Times New Roman" w:hAnsi="Times New Roman"/>
          <w:sz w:val="18"/>
          <w:szCs w:val="18"/>
          <w:color w:val="auto"/>
        </w:rPr>
        <w:t>” means, with respect to any dividend, distribution or other transaction or event in which the holders of Common Stock (or other applicable security) have the right to receive any cash, securities or other property or in which the Common Stock (or such other security) is exchanged for or converted into any combination of cash, securities or other property, the date fixed for determination of holders of the Common Stock (or such other security) entitled to receive such cash, securities or other property (whether such date is fixed by the Board of Directors, by statute, by contract or otherwise).</w:t>
      </w:r>
    </w:p>
    <w:p>
      <w:pPr>
        <w:spacing w:after="0" w:line="179"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Redemption Date</w:t>
      </w:r>
      <w:r>
        <w:rPr>
          <w:rFonts w:ascii="Times New Roman" w:cs="Times New Roman" w:eastAsia="Times New Roman" w:hAnsi="Times New Roman"/>
          <w:sz w:val="18"/>
          <w:szCs w:val="18"/>
          <w:color w:val="auto"/>
        </w:rPr>
        <w:t>” shall have the meaning specified in Section 16.02(a).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Redemption Notice</w:t>
      </w:r>
      <w:r>
        <w:rPr>
          <w:rFonts w:ascii="Times New Roman" w:cs="Times New Roman" w:eastAsia="Times New Roman" w:hAnsi="Times New Roman"/>
          <w:sz w:val="18"/>
          <w:szCs w:val="18"/>
          <w:color w:val="auto"/>
        </w:rPr>
        <w:t>” shall have the meaning specified in Section 16.02(a).</w:t>
      </w:r>
    </w:p>
    <w:p>
      <w:pPr>
        <w:spacing w:after="0" w:line="162" w:lineRule="exact"/>
        <w:rPr>
          <w:sz w:val="20"/>
          <w:szCs w:val="20"/>
          <w:color w:val="auto"/>
        </w:rPr>
      </w:pPr>
    </w:p>
    <w:p>
      <w:pPr>
        <w:ind w:left="5420"/>
        <w:spacing w:after="0"/>
        <w:rPr>
          <w:sz w:val="20"/>
          <w:szCs w:val="20"/>
          <w:color w:val="auto"/>
        </w:rPr>
      </w:pPr>
      <w:r>
        <w:rPr>
          <w:rFonts w:ascii="Times New Roman" w:cs="Times New Roman" w:eastAsia="Times New Roman" w:hAnsi="Times New Roman"/>
          <w:sz w:val="18"/>
          <w:szCs w:val="18"/>
          <w:color w:val="auto"/>
        </w:rPr>
        <w:t>10</w:t>
      </w:r>
    </w:p>
    <w:p>
      <w:pPr>
        <w:sectPr>
          <w:pgSz w:w="11900" w:h="16838" w:orient="portrait"/>
          <w:cols w:equalWidth="0" w:num="1">
            <w:col w:w="10900"/>
          </w:cols>
          <w:pgMar w:left="440" w:top="270" w:right="559" w:bottom="1440" w:gutter="0" w:footer="0" w:header="0"/>
        </w:sectPr>
      </w:pPr>
    </w:p>
    <w:bookmarkStart w:id="21" w:name="page22"/>
    <w:bookmarkEnd w:id="21"/>
    <w:p>
      <w:pPr>
        <w:ind w:right="40" w:firstLine="440"/>
        <w:spacing w:after="0" w:line="282" w:lineRule="auto"/>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7"/>
          <w:szCs w:val="17"/>
          <w:b w:val="1"/>
          <w:bCs w:val="1"/>
          <w:color w:val="auto"/>
        </w:rPr>
        <w:t>Redemption Price</w:t>
      </w:r>
      <w:r>
        <w:rPr>
          <w:rFonts w:ascii="Times New Roman" w:cs="Times New Roman" w:eastAsia="Times New Roman" w:hAnsi="Times New Roman"/>
          <w:sz w:val="17"/>
          <w:szCs w:val="17"/>
          <w:color w:val="auto"/>
        </w:rPr>
        <w:t xml:space="preserve">” means, for any Notes to be redeemed pursuant to Section 16.01, 100% of the principal amount of such Notes, </w:t>
      </w:r>
      <w:r>
        <w:rPr>
          <w:rFonts w:ascii="Times New Roman" w:cs="Times New Roman" w:eastAsia="Times New Roman" w:hAnsi="Times New Roman"/>
          <w:sz w:val="17"/>
          <w:szCs w:val="17"/>
          <w:i w:val="1"/>
          <w:iCs w:val="1"/>
          <w:color w:val="auto"/>
        </w:rPr>
        <w:t>plus</w:t>
      </w:r>
      <w:r>
        <w:rPr>
          <w:rFonts w:ascii="Times New Roman" w:cs="Times New Roman" w:eastAsia="Times New Roman" w:hAnsi="Times New Roman"/>
          <w:sz w:val="17"/>
          <w:szCs w:val="17"/>
          <w:color w:val="auto"/>
        </w:rPr>
        <w:t xml:space="preserve"> accrued and unpaid interest, if any, to, but excluding, the Redemption Date (unless the Redemption Date falls after a Regular Record Date but on or prior to the immediately succeeding Interest Payment Date, in which case interest accrued to the Interest Payment Date will be paid to Holders of record of such Notes as of the close of business on such Regular Record Date, and the Redemption Price will be equal to 100% of the principal amount of such Notes).</w:t>
      </w:r>
    </w:p>
    <w:p>
      <w:pPr>
        <w:spacing w:after="0" w:line="16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Reference Property</w:t>
      </w:r>
      <w:r>
        <w:rPr>
          <w:rFonts w:ascii="Times New Roman" w:cs="Times New Roman" w:eastAsia="Times New Roman" w:hAnsi="Times New Roman"/>
          <w:sz w:val="18"/>
          <w:szCs w:val="18"/>
          <w:color w:val="auto"/>
        </w:rPr>
        <w:t>” shall have the meaning specified in Section 14.07(a).</w:t>
      </w:r>
    </w:p>
    <w:p>
      <w:pPr>
        <w:spacing w:after="0" w:line="225" w:lineRule="exact"/>
        <w:rPr>
          <w:sz w:val="20"/>
          <w:szCs w:val="20"/>
          <w:color w:val="auto"/>
        </w:rPr>
      </w:pPr>
    </w:p>
    <w:p>
      <w:pPr>
        <w:ind w:right="6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Regular Record Date</w:t>
      </w:r>
      <w:r>
        <w:rPr>
          <w:rFonts w:ascii="Times New Roman" w:cs="Times New Roman" w:eastAsia="Times New Roman" w:hAnsi="Times New Roman"/>
          <w:sz w:val="18"/>
          <w:szCs w:val="18"/>
          <w:color w:val="auto"/>
        </w:rPr>
        <w:t>” with respect to any Interest Payment Date, means the June 1 or December 1 (whether or not such day is a Business Day) immediately preceding the applicable June 15 or December 15 Interest Payment Date, respectively.</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Repurchase Date</w:t>
      </w:r>
      <w:r>
        <w:rPr>
          <w:rFonts w:ascii="Times New Roman" w:cs="Times New Roman" w:eastAsia="Times New Roman" w:hAnsi="Times New Roman"/>
          <w:sz w:val="18"/>
          <w:szCs w:val="18"/>
          <w:color w:val="auto"/>
        </w:rPr>
        <w:t>” shall have the meaning specified in Section 15.01(a).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Repurchase Expiration Time</w:t>
      </w:r>
      <w:r>
        <w:rPr>
          <w:rFonts w:ascii="Times New Roman" w:cs="Times New Roman" w:eastAsia="Times New Roman" w:hAnsi="Times New Roman"/>
          <w:sz w:val="18"/>
          <w:szCs w:val="18"/>
          <w:color w:val="auto"/>
        </w:rPr>
        <w:t>” shall have the meaning specified in Section 15.01(a).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Repurchase Notice</w:t>
      </w:r>
      <w:r>
        <w:rPr>
          <w:rFonts w:ascii="Times New Roman" w:cs="Times New Roman" w:eastAsia="Times New Roman" w:hAnsi="Times New Roman"/>
          <w:sz w:val="18"/>
          <w:szCs w:val="18"/>
          <w:color w:val="auto"/>
        </w:rPr>
        <w:t>” shall have the meaning specified in Section 15.01(a).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Repurchase Price</w:t>
      </w:r>
      <w:r>
        <w:rPr>
          <w:rFonts w:ascii="Times New Roman" w:cs="Times New Roman" w:eastAsia="Times New Roman" w:hAnsi="Times New Roman"/>
          <w:sz w:val="18"/>
          <w:szCs w:val="18"/>
          <w:color w:val="auto"/>
        </w:rPr>
        <w:t>” shall have the meaning specified in Section 15.01(a).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Resale Restriction Termination Date</w:t>
      </w:r>
      <w:r>
        <w:rPr>
          <w:rFonts w:ascii="Times New Roman" w:cs="Times New Roman" w:eastAsia="Times New Roman" w:hAnsi="Times New Roman"/>
          <w:sz w:val="18"/>
          <w:szCs w:val="18"/>
          <w:color w:val="auto"/>
        </w:rPr>
        <w:t>” shall have the meaning specified in Section 2.05(c).</w:t>
      </w:r>
    </w:p>
    <w:p>
      <w:pPr>
        <w:spacing w:after="0" w:line="225" w:lineRule="exact"/>
        <w:rPr>
          <w:sz w:val="20"/>
          <w:szCs w:val="20"/>
          <w:color w:val="auto"/>
        </w:rPr>
      </w:pPr>
    </w:p>
    <w:p>
      <w:pPr>
        <w:ind w:firstLine="440"/>
        <w:spacing w:after="0" w:line="259"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Responsible Officer</w:t>
      </w:r>
      <w:r>
        <w:rPr>
          <w:rFonts w:ascii="Times New Roman" w:cs="Times New Roman" w:eastAsia="Times New Roman" w:hAnsi="Times New Roman"/>
          <w:sz w:val="18"/>
          <w:szCs w:val="18"/>
          <w:color w:val="auto"/>
        </w:rPr>
        <w:t>” means, when used with respect to the Trustee, any officer within the Corporate Trust Office of the Trustee, including any vice president, assistant vice president, assistant secretary, assistant treasurer, trust officer or any other officer of the Trustee who customarily performs functions similar to those performed by the Persons who at the time shall be such officers, respectively, or to whom any corporate trust matter is referred because of such person’s knowledge of and familiarity with the particular subject and, in each case, who shall have direct responsibility for the administration of this Indenture.</w:t>
      </w:r>
    </w:p>
    <w:p>
      <w:pPr>
        <w:spacing w:after="0" w:line="179"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Restricted Securities</w:t>
      </w:r>
      <w:r>
        <w:rPr>
          <w:rFonts w:ascii="Times New Roman" w:cs="Times New Roman" w:eastAsia="Times New Roman" w:hAnsi="Times New Roman"/>
          <w:sz w:val="18"/>
          <w:szCs w:val="18"/>
          <w:color w:val="auto"/>
        </w:rPr>
        <w:t>” shall have the meaning specified in Section 2.05(c).</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Rule 144</w:t>
      </w:r>
      <w:r>
        <w:rPr>
          <w:rFonts w:ascii="Times New Roman" w:cs="Times New Roman" w:eastAsia="Times New Roman" w:hAnsi="Times New Roman"/>
          <w:sz w:val="18"/>
          <w:szCs w:val="18"/>
          <w:color w:val="auto"/>
        </w:rPr>
        <w:t>” means Rule 144 as promulgated under the Securities Act.</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Rule 144A</w:t>
      </w:r>
      <w:r>
        <w:rPr>
          <w:rFonts w:ascii="Times New Roman" w:cs="Times New Roman" w:eastAsia="Times New Roman" w:hAnsi="Times New Roman"/>
          <w:sz w:val="18"/>
          <w:szCs w:val="18"/>
          <w:color w:val="auto"/>
        </w:rPr>
        <w:t>” means Rule 144A as promulgated under the Securities Act.</w:t>
      </w:r>
    </w:p>
    <w:p>
      <w:pPr>
        <w:spacing w:after="0" w:line="225" w:lineRule="exact"/>
        <w:rPr>
          <w:sz w:val="20"/>
          <w:szCs w:val="20"/>
          <w:color w:val="auto"/>
        </w:rPr>
      </w:pPr>
    </w:p>
    <w:p>
      <w:pPr>
        <w:ind w:right="4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Scheduled Trading Day</w:t>
      </w:r>
      <w:r>
        <w:rPr>
          <w:rFonts w:ascii="Times New Roman" w:cs="Times New Roman" w:eastAsia="Times New Roman" w:hAnsi="Times New Roman"/>
          <w:sz w:val="18"/>
          <w:szCs w:val="18"/>
          <w:color w:val="auto"/>
        </w:rPr>
        <w:t>” means a day that is scheduled to be a Trading Day on the principal U.S. national or regional securities exchange or market on which the Common Stock is listed or admitted for trading. If the Common Stock is not so listed or admitted for trading, “</w:t>
      </w:r>
      <w:r>
        <w:rPr>
          <w:rFonts w:ascii="Times New Roman" w:cs="Times New Roman" w:eastAsia="Times New Roman" w:hAnsi="Times New Roman"/>
          <w:sz w:val="18"/>
          <w:szCs w:val="18"/>
          <w:b w:val="1"/>
          <w:bCs w:val="1"/>
          <w:color w:val="auto"/>
        </w:rPr>
        <w:t>Scheduled Trading</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Day</w:t>
      </w:r>
      <w:r>
        <w:rPr>
          <w:rFonts w:ascii="Times New Roman" w:cs="Times New Roman" w:eastAsia="Times New Roman" w:hAnsi="Times New Roman"/>
          <w:sz w:val="18"/>
          <w:szCs w:val="18"/>
          <w:color w:val="auto"/>
        </w:rPr>
        <w:t>” means a Business Day.</w:t>
      </w:r>
    </w:p>
    <w:p>
      <w:pPr>
        <w:spacing w:after="0" w:line="10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11</w:t>
      </w:r>
    </w:p>
    <w:p>
      <w:pPr>
        <w:sectPr>
          <w:pgSz w:w="11900" w:h="16838" w:orient="portrait"/>
          <w:cols w:equalWidth="0" w:num="1">
            <w:col w:w="10980"/>
          </w:cols>
          <w:pgMar w:left="440" w:top="266" w:right="479" w:bottom="1440" w:gutter="0" w:footer="0" w:header="0"/>
        </w:sectPr>
      </w:pPr>
    </w:p>
    <w:bookmarkStart w:id="22" w:name="page23"/>
    <w:bookmarkEnd w:id="22"/>
    <w:p>
      <w:pPr>
        <w:ind w:left="444"/>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Securities Act</w:t>
      </w:r>
      <w:r>
        <w:rPr>
          <w:rFonts w:ascii="Times New Roman" w:cs="Times New Roman" w:eastAsia="Times New Roman" w:hAnsi="Times New Roman"/>
          <w:sz w:val="18"/>
          <w:szCs w:val="18"/>
          <w:color w:val="auto"/>
        </w:rPr>
        <w:t>” means the Securities Act of 1933, as amended, and the rules and regulations promulgated thereunder.</w:t>
      </w:r>
    </w:p>
    <w:p>
      <w:pPr>
        <w:spacing w:after="0" w:line="225"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Settlement Amount</w:t>
      </w:r>
      <w:r>
        <w:rPr>
          <w:rFonts w:ascii="Times New Roman" w:cs="Times New Roman" w:eastAsia="Times New Roman" w:hAnsi="Times New Roman"/>
          <w:sz w:val="18"/>
          <w:szCs w:val="18"/>
          <w:color w:val="auto"/>
        </w:rPr>
        <w:t>” has the meaning specified in Section 14.02(a)(iv).</w:t>
      </w:r>
    </w:p>
    <w:p>
      <w:pPr>
        <w:spacing w:after="0" w:line="225" w:lineRule="exact"/>
        <w:rPr>
          <w:sz w:val="20"/>
          <w:szCs w:val="20"/>
          <w:color w:val="auto"/>
        </w:rPr>
      </w:pPr>
    </w:p>
    <w:p>
      <w:pPr>
        <w:ind w:left="4" w:right="42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Settlement Method</w:t>
      </w:r>
      <w:r>
        <w:rPr>
          <w:rFonts w:ascii="Times New Roman" w:cs="Times New Roman" w:eastAsia="Times New Roman" w:hAnsi="Times New Roman"/>
          <w:sz w:val="18"/>
          <w:szCs w:val="18"/>
          <w:color w:val="auto"/>
        </w:rPr>
        <w:t>” means, with respect to any conversion of Notes, Physical Settlement, Cash Settlement or Combination Settlement, as elected (or deemed to have been elected) by the Company.</w:t>
      </w:r>
    </w:p>
    <w:p>
      <w:pPr>
        <w:spacing w:after="0" w:line="155"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Settlement Notice</w:t>
      </w:r>
      <w:r>
        <w:rPr>
          <w:rFonts w:ascii="Times New Roman" w:cs="Times New Roman" w:eastAsia="Times New Roman" w:hAnsi="Times New Roman"/>
          <w:sz w:val="18"/>
          <w:szCs w:val="18"/>
          <w:color w:val="auto"/>
        </w:rPr>
        <w:t>” has the meaning specified in Section 14.02(a)(iii).</w:t>
      </w:r>
    </w:p>
    <w:p>
      <w:pPr>
        <w:spacing w:after="0" w:line="225"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Share Exchange Event</w:t>
      </w:r>
      <w:r>
        <w:rPr>
          <w:rFonts w:ascii="Times New Roman" w:cs="Times New Roman" w:eastAsia="Times New Roman" w:hAnsi="Times New Roman"/>
          <w:sz w:val="18"/>
          <w:szCs w:val="18"/>
          <w:color w:val="auto"/>
        </w:rPr>
        <w:t>” shall have the meaning specified in Section 14.07(a).</w:t>
      </w:r>
    </w:p>
    <w:p>
      <w:pPr>
        <w:spacing w:after="0" w:line="225" w:lineRule="exact"/>
        <w:rPr>
          <w:sz w:val="20"/>
          <w:szCs w:val="20"/>
          <w:color w:val="auto"/>
        </w:rPr>
      </w:pPr>
    </w:p>
    <w:p>
      <w:pPr>
        <w:ind w:left="4" w:right="40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Significant Subsidiary</w:t>
      </w:r>
      <w:r>
        <w:rPr>
          <w:rFonts w:ascii="Times New Roman" w:cs="Times New Roman" w:eastAsia="Times New Roman" w:hAnsi="Times New Roman"/>
          <w:sz w:val="18"/>
          <w:szCs w:val="18"/>
          <w:color w:val="auto"/>
        </w:rPr>
        <w:t>” means a Subsidiary of the Company that meets the definition of “significant subsidiary” in Article 1, Rule 1-02 of Regulation S-X under the Exchange Act as in effect on the date hereof.</w:t>
      </w:r>
    </w:p>
    <w:p>
      <w:pPr>
        <w:spacing w:after="0" w:line="155" w:lineRule="exact"/>
        <w:rPr>
          <w:sz w:val="20"/>
          <w:szCs w:val="20"/>
          <w:color w:val="auto"/>
        </w:rPr>
      </w:pPr>
    </w:p>
    <w:p>
      <w:pPr>
        <w:ind w:left="4" w:right="2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Specified Dollar Amount</w:t>
      </w:r>
      <w:r>
        <w:rPr>
          <w:rFonts w:ascii="Times New Roman" w:cs="Times New Roman" w:eastAsia="Times New Roman" w:hAnsi="Times New Roman"/>
          <w:sz w:val="18"/>
          <w:szCs w:val="18"/>
          <w:color w:val="auto"/>
        </w:rPr>
        <w:t>” means the maximum cash amount per $1,000 principal amount of Notes to be received upon conversion as specified (or deemed as specified) in the Settlement Notice related to any converted Notes.</w:t>
      </w:r>
    </w:p>
    <w:p>
      <w:pPr>
        <w:spacing w:after="0" w:line="155"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Spin-Off</w:t>
      </w:r>
      <w:r>
        <w:rPr>
          <w:rFonts w:ascii="Times New Roman" w:cs="Times New Roman" w:eastAsia="Times New Roman" w:hAnsi="Times New Roman"/>
          <w:sz w:val="18"/>
          <w:szCs w:val="18"/>
          <w:color w:val="auto"/>
        </w:rPr>
        <w:t>” shall have the meaning specified in Section 14.04(c).</w:t>
      </w:r>
    </w:p>
    <w:p>
      <w:pPr>
        <w:spacing w:after="0" w:line="225"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Stock Price</w:t>
      </w:r>
      <w:r>
        <w:rPr>
          <w:rFonts w:ascii="Times New Roman" w:cs="Times New Roman" w:eastAsia="Times New Roman" w:hAnsi="Times New Roman"/>
          <w:sz w:val="18"/>
          <w:szCs w:val="18"/>
          <w:color w:val="auto"/>
        </w:rPr>
        <w:t>” shall have the meaning specified in Section 14.03(c).</w:t>
      </w:r>
    </w:p>
    <w:p>
      <w:pPr>
        <w:spacing w:after="0" w:line="225" w:lineRule="exact"/>
        <w:rPr>
          <w:sz w:val="20"/>
          <w:szCs w:val="20"/>
          <w:color w:val="auto"/>
        </w:rPr>
      </w:pPr>
    </w:p>
    <w:p>
      <w:pPr>
        <w:ind w:left="4"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Subsidiary</w:t>
      </w:r>
      <w:r>
        <w:rPr>
          <w:rFonts w:ascii="Times New Roman" w:cs="Times New Roman" w:eastAsia="Times New Roman" w:hAnsi="Times New Roman"/>
          <w:sz w:val="18"/>
          <w:szCs w:val="18"/>
          <w:color w:val="auto"/>
        </w:rPr>
        <w:t>” means, with respect to any Person, any corporation, association, partnership or other business entity of which more than 50% of the total voting power of shares of Capital Stock or other interests (including partnership interests) entitled (without regard to the occurrence of any contingency) to vote in the election of directors, managers, general partners or trustees thereof is at the time owned or controlled, directly or indirectly, by (i) such Person; (ii) such Person and one or more Subsidiaries of such Person; or (iii) one or more Subsidiaries of such Person.</w:t>
      </w:r>
    </w:p>
    <w:p>
      <w:pPr>
        <w:spacing w:after="0" w:line="176"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Successor Company</w:t>
      </w:r>
      <w:r>
        <w:rPr>
          <w:rFonts w:ascii="Times New Roman" w:cs="Times New Roman" w:eastAsia="Times New Roman" w:hAnsi="Times New Roman"/>
          <w:sz w:val="18"/>
          <w:szCs w:val="18"/>
          <w:color w:val="auto"/>
        </w:rPr>
        <w:t>” shall have the meaning specified in Section 11.01(a).</w:t>
      </w:r>
    </w:p>
    <w:p>
      <w:pPr>
        <w:spacing w:after="0" w:line="225"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Trading Day</w:t>
      </w:r>
      <w:r>
        <w:rPr>
          <w:rFonts w:ascii="Times New Roman" w:cs="Times New Roman" w:eastAsia="Times New Roman" w:hAnsi="Times New Roman"/>
          <w:sz w:val="18"/>
          <w:szCs w:val="18"/>
          <w:color w:val="auto"/>
        </w:rPr>
        <w:t>” means, except for purposes of determining amounts due upon conversion as set forth in the proviso below, a day on which</w:t>
      </w:r>
    </w:p>
    <w:p>
      <w:pPr>
        <w:spacing w:after="0" w:line="31" w:lineRule="exact"/>
        <w:rPr>
          <w:sz w:val="20"/>
          <w:szCs w:val="20"/>
          <w:color w:val="auto"/>
        </w:rPr>
      </w:pPr>
    </w:p>
    <w:p>
      <w:pPr>
        <w:ind w:left="4" w:right="20" w:hanging="4"/>
        <w:spacing w:after="0" w:line="252" w:lineRule="auto"/>
        <w:tabs>
          <w:tab w:leader="none" w:pos="219" w:val="left"/>
        </w:tabs>
        <w:numPr>
          <w:ilvl w:val="0"/>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trading in the Common Stock (or other security for which a closing sale price must be determined) generally occurs on The Nasdaq Global Select Market or, if the Common Stock (or such other security) is not then listed on The Nasdaq Global Select Market, on the principal other U.S. national or regional securities exchange on which the Common Stock (or such other security) is then listed or, if the Common Stock (or such other security) is not then listed on a U.S. national or regional securities exchange, on the principal other market on which the Common Stock (or such other security) is then traded and (ii) a Last Reported Sale Price for the Common Stock (or closing sale price for such other security) is available on such securities exchange or market;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if the Common Stock (or such other security) is not so listed or traded, “</w:t>
      </w:r>
      <w:r>
        <w:rPr>
          <w:rFonts w:ascii="Times New Roman" w:cs="Times New Roman" w:eastAsia="Times New Roman" w:hAnsi="Times New Roman"/>
          <w:sz w:val="18"/>
          <w:szCs w:val="18"/>
          <w:b w:val="1"/>
          <w:bCs w:val="1"/>
          <w:color w:val="auto"/>
        </w:rPr>
        <w:t>Trading Day</w:t>
      </w:r>
      <w:r>
        <w:rPr>
          <w:rFonts w:ascii="Times New Roman" w:cs="Times New Roman" w:eastAsia="Times New Roman" w:hAnsi="Times New Roman"/>
          <w:sz w:val="18"/>
          <w:szCs w:val="18"/>
          <w:color w:val="auto"/>
        </w:rPr>
        <w:t xml:space="preserve">” means a Business Day; and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further</w:t>
      </w:r>
      <w:r>
        <w:rPr>
          <w:rFonts w:ascii="Times New Roman" w:cs="Times New Roman" w:eastAsia="Times New Roman" w:hAnsi="Times New Roman"/>
          <w:sz w:val="18"/>
          <w:szCs w:val="18"/>
          <w:color w:val="auto"/>
        </w:rPr>
        <w:t>, that for purposes of determining amounts due upon</w:t>
      </w:r>
    </w:p>
    <w:p>
      <w:pPr>
        <w:spacing w:after="0" w:line="121" w:lineRule="exact"/>
        <w:rPr>
          <w:sz w:val="20"/>
          <w:szCs w:val="20"/>
          <w:color w:val="auto"/>
        </w:rPr>
      </w:pPr>
    </w:p>
    <w:p>
      <w:pPr>
        <w:jc w:val="center"/>
        <w:ind w:right="-83"/>
        <w:spacing w:after="0"/>
        <w:rPr>
          <w:sz w:val="20"/>
          <w:szCs w:val="20"/>
          <w:color w:val="auto"/>
        </w:rPr>
      </w:pPr>
      <w:r>
        <w:rPr>
          <w:rFonts w:ascii="Times New Roman" w:cs="Times New Roman" w:eastAsia="Times New Roman" w:hAnsi="Times New Roman"/>
          <w:sz w:val="18"/>
          <w:szCs w:val="18"/>
          <w:color w:val="auto"/>
        </w:rPr>
        <w:t>12</w:t>
      </w:r>
    </w:p>
    <w:p>
      <w:pPr>
        <w:sectPr>
          <w:pgSz w:w="11900" w:h="16838" w:orient="portrait"/>
          <w:cols w:equalWidth="0" w:num="1">
            <w:col w:w="10944"/>
          </w:cols>
          <w:pgMar w:left="436" w:top="266" w:right="519" w:bottom="1440" w:gutter="0" w:footer="0" w:header="0"/>
        </w:sectPr>
      </w:pPr>
    </w:p>
    <w:bookmarkStart w:id="23" w:name="page24"/>
    <w:bookmarkEnd w:id="23"/>
    <w:p>
      <w:pPr>
        <w:ind w:right="20"/>
        <w:spacing w:after="0" w:line="259"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conversion only, “</w:t>
      </w:r>
      <w:r>
        <w:rPr>
          <w:rFonts w:ascii="Times New Roman" w:cs="Times New Roman" w:eastAsia="Times New Roman" w:hAnsi="Times New Roman"/>
          <w:sz w:val="18"/>
          <w:szCs w:val="18"/>
          <w:b w:val="1"/>
          <w:bCs w:val="1"/>
          <w:color w:val="auto"/>
        </w:rPr>
        <w:t>Trading Day</w:t>
      </w:r>
      <w:r>
        <w:rPr>
          <w:rFonts w:ascii="Times New Roman" w:cs="Times New Roman" w:eastAsia="Times New Roman" w:hAnsi="Times New Roman"/>
          <w:sz w:val="18"/>
          <w:szCs w:val="18"/>
          <w:color w:val="auto"/>
        </w:rPr>
        <w:t>” means a day on which (x) there is no Market Disruption Event and (y) trading in the Common Stock generally occurs on The Nasdaq Global Select Market or, if the Common Stock is not then listed on The Nasdaq Global Select Market, on the principal other U.S. national or regional securities exchange on which the Common Stock is then listed or, if the Common Stock is not then listed on a U.S. national or regional securities exchange, on the principal other market on which the Common Stock is then listed or admitted for trading, except that if the Common Stock is not so listed or admitted for trading, “</w:t>
      </w:r>
      <w:r>
        <w:rPr>
          <w:rFonts w:ascii="Times New Roman" w:cs="Times New Roman" w:eastAsia="Times New Roman" w:hAnsi="Times New Roman"/>
          <w:sz w:val="18"/>
          <w:szCs w:val="18"/>
          <w:b w:val="1"/>
          <w:bCs w:val="1"/>
          <w:color w:val="auto"/>
        </w:rPr>
        <w:t>Trading Day</w:t>
      </w:r>
      <w:r>
        <w:rPr>
          <w:rFonts w:ascii="Times New Roman" w:cs="Times New Roman" w:eastAsia="Times New Roman" w:hAnsi="Times New Roman"/>
          <w:sz w:val="18"/>
          <w:szCs w:val="18"/>
          <w:color w:val="auto"/>
        </w:rPr>
        <w:t>” means a Business Day.</w:t>
      </w:r>
    </w:p>
    <w:p>
      <w:pPr>
        <w:spacing w:after="0" w:line="179" w:lineRule="exact"/>
        <w:rPr>
          <w:sz w:val="20"/>
          <w:szCs w:val="20"/>
          <w:color w:val="auto"/>
        </w:rPr>
      </w:pPr>
    </w:p>
    <w:p>
      <w:pPr>
        <w:ind w:firstLine="440"/>
        <w:spacing w:after="0" w:line="255"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Trading Price</w:t>
      </w:r>
      <w:r>
        <w:rPr>
          <w:rFonts w:ascii="Times New Roman" w:cs="Times New Roman" w:eastAsia="Times New Roman" w:hAnsi="Times New Roman"/>
          <w:sz w:val="18"/>
          <w:szCs w:val="18"/>
          <w:color w:val="auto"/>
        </w:rPr>
        <w:t xml:space="preserve">” of the Notes on any date of determination means the average of the secondary market bid quotations obtained by the Bid Solicitation Agent for $5,000,000 principal amount of Notes at approximately 3:30 p.m., New York City time, on such determination date from three independent nationally recognized securities dealers the Company selects for this purpose;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if three such bids cannot reasonably be obtained by the Bid Solicitation Agent but two such bids are obtained, then the average of the two bids shall be used, and if only one such bid can reasonably be obtained by the Bid Solicitation Agent, that one bid shall be used. If the Bid Solicitation Agent cannot reasonably obtain at least one bid for $5,000,000 principal amount of Notes from a nationally recognized securities dealer on any determination date, then the Trading Price per $1,000 principal amount of Notes on such determination date shall be deemed to be less than 98% of the product of the Last Reported Sale Price of the Common Stock and the Conversion Rate.</w:t>
      </w:r>
    </w:p>
    <w:p>
      <w:pPr>
        <w:spacing w:after="0" w:line="18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transfer</w:t>
      </w:r>
      <w:r>
        <w:rPr>
          <w:rFonts w:ascii="Times New Roman" w:cs="Times New Roman" w:eastAsia="Times New Roman" w:hAnsi="Times New Roman"/>
          <w:sz w:val="18"/>
          <w:szCs w:val="18"/>
          <w:color w:val="auto"/>
        </w:rPr>
        <w:t>” shall have the meaning specified in Section 2.05(c).</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Trigger Event</w:t>
      </w:r>
      <w:r>
        <w:rPr>
          <w:rFonts w:ascii="Times New Roman" w:cs="Times New Roman" w:eastAsia="Times New Roman" w:hAnsi="Times New Roman"/>
          <w:sz w:val="18"/>
          <w:szCs w:val="18"/>
          <w:color w:val="auto"/>
        </w:rPr>
        <w:t>” shall have the meaning specified in Section 14.04(c).</w:t>
      </w:r>
    </w:p>
    <w:p>
      <w:pPr>
        <w:spacing w:after="0" w:line="225" w:lineRule="exact"/>
        <w:rPr>
          <w:sz w:val="20"/>
          <w:szCs w:val="20"/>
          <w:color w:val="auto"/>
        </w:rPr>
      </w:pPr>
    </w:p>
    <w:p>
      <w:pPr>
        <w:ind w:right="8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Trust Indenture Act</w:t>
      </w:r>
      <w:r>
        <w:rPr>
          <w:rFonts w:ascii="Times New Roman" w:cs="Times New Roman" w:eastAsia="Times New Roman" w:hAnsi="Times New Roman"/>
          <w:sz w:val="18"/>
          <w:szCs w:val="18"/>
          <w:color w:val="auto"/>
        </w:rPr>
        <w:t xml:space="preserve">” means the Trust Indenture Act of 1939, as amended, as it was in force at the date of execution of this Indenture;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in the event the Trust Indenture Act of 1939 is amended after the date hereof, the term “Trust Indenture Act” shall mean, to the extent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required by such amendment, the Trust Indenture Act of 1939, as so amended.</w:t>
      </w:r>
    </w:p>
    <w:p>
      <w:pPr>
        <w:spacing w:after="0" w:line="171" w:lineRule="exact"/>
        <w:rPr>
          <w:sz w:val="20"/>
          <w:szCs w:val="20"/>
          <w:color w:val="auto"/>
        </w:rPr>
      </w:pPr>
    </w:p>
    <w:p>
      <w:pPr>
        <w:ind w:right="400" w:firstLine="440"/>
        <w:spacing w:after="0" w:line="317" w:lineRule="auto"/>
        <w:rPr>
          <w:sz w:val="20"/>
          <w:szCs w:val="20"/>
          <w:color w:val="auto"/>
        </w:rPr>
      </w:pP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b w:val="1"/>
          <w:bCs w:val="1"/>
          <w:color w:val="auto"/>
        </w:rPr>
        <w:t>Trustee</w:t>
      </w:r>
      <w:r>
        <w:rPr>
          <w:rFonts w:ascii="Times New Roman" w:cs="Times New Roman" w:eastAsia="Times New Roman" w:hAnsi="Times New Roman"/>
          <w:sz w:val="17"/>
          <w:szCs w:val="17"/>
          <w:color w:val="auto"/>
        </w:rPr>
        <w:t>” means the Person named as the “</w:t>
      </w:r>
      <w:r>
        <w:rPr>
          <w:rFonts w:ascii="Times New Roman" w:cs="Times New Roman" w:eastAsia="Times New Roman" w:hAnsi="Times New Roman"/>
          <w:sz w:val="17"/>
          <w:szCs w:val="17"/>
          <w:b w:val="1"/>
          <w:bCs w:val="1"/>
          <w:color w:val="auto"/>
        </w:rPr>
        <w:t>Trustee</w:t>
      </w:r>
      <w:r>
        <w:rPr>
          <w:rFonts w:ascii="Times New Roman" w:cs="Times New Roman" w:eastAsia="Times New Roman" w:hAnsi="Times New Roman"/>
          <w:sz w:val="17"/>
          <w:szCs w:val="17"/>
          <w:color w:val="auto"/>
        </w:rPr>
        <w:t>” in the first paragraph of this Indenture until a successor trustee shall have become such pursuant to the applicable provisions of this Indenture, and thereafter “</w:t>
      </w:r>
      <w:r>
        <w:rPr>
          <w:rFonts w:ascii="Times New Roman" w:cs="Times New Roman" w:eastAsia="Times New Roman" w:hAnsi="Times New Roman"/>
          <w:sz w:val="17"/>
          <w:szCs w:val="17"/>
          <w:b w:val="1"/>
          <w:bCs w:val="1"/>
          <w:color w:val="auto"/>
        </w:rPr>
        <w:t>Trustee</w:t>
      </w:r>
      <w:r>
        <w:rPr>
          <w:rFonts w:ascii="Times New Roman" w:cs="Times New Roman" w:eastAsia="Times New Roman" w:hAnsi="Times New Roman"/>
          <w:sz w:val="17"/>
          <w:szCs w:val="17"/>
          <w:color w:val="auto"/>
        </w:rPr>
        <w:t>” shall mean or include each Person who is then a Trustee hereunder.</w:t>
      </w:r>
    </w:p>
    <w:p>
      <w:pPr>
        <w:spacing w:after="0" w:line="132"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unit of Reference Property</w:t>
      </w:r>
      <w:r>
        <w:rPr>
          <w:rFonts w:ascii="Times New Roman" w:cs="Times New Roman" w:eastAsia="Times New Roman" w:hAnsi="Times New Roman"/>
          <w:sz w:val="18"/>
          <w:szCs w:val="18"/>
          <w:color w:val="auto"/>
        </w:rPr>
        <w:t>” shall have the meaning specified in Section 14.07(a).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Valuation Period</w:t>
      </w:r>
      <w:r>
        <w:rPr>
          <w:rFonts w:ascii="Times New Roman" w:cs="Times New Roman" w:eastAsia="Times New Roman" w:hAnsi="Times New Roman"/>
          <w:sz w:val="18"/>
          <w:szCs w:val="18"/>
          <w:color w:val="auto"/>
        </w:rPr>
        <w:t>” shall have the meaning specified in Section 14.04(c).</w:t>
      </w:r>
    </w:p>
    <w:p>
      <w:pPr>
        <w:spacing w:after="0" w:line="225" w:lineRule="exact"/>
        <w:rPr>
          <w:sz w:val="20"/>
          <w:szCs w:val="20"/>
          <w:color w:val="auto"/>
        </w:rPr>
      </w:pPr>
    </w:p>
    <w:p>
      <w:pPr>
        <w:ind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Wholly Owned Subsidiary</w:t>
      </w:r>
      <w:r>
        <w:rPr>
          <w:rFonts w:ascii="Times New Roman" w:cs="Times New Roman" w:eastAsia="Times New Roman" w:hAnsi="Times New Roman"/>
          <w:sz w:val="18"/>
          <w:szCs w:val="18"/>
          <w:color w:val="auto"/>
        </w:rPr>
        <w:t>” means, with respect to any Person, any Subsidiary of such Person, except that, solely for purposes of this definition, the reference to “more than 50%” in the definition of “Subsidiary” shall be deemed replaced by a reference to “100%”.</w:t>
      </w:r>
    </w:p>
    <w:p>
      <w:pPr>
        <w:spacing w:after="0" w:line="9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13</w:t>
      </w:r>
    </w:p>
    <w:p>
      <w:pPr>
        <w:sectPr>
          <w:pgSz w:w="11900" w:h="16838" w:orient="portrait"/>
          <w:cols w:equalWidth="0" w:num="1">
            <w:col w:w="11020"/>
          </w:cols>
          <w:pgMar w:left="440" w:top="266" w:right="439" w:bottom="1440" w:gutter="0" w:footer="0" w:header="0"/>
        </w:sectPr>
      </w:pPr>
    </w:p>
    <w:bookmarkStart w:id="24" w:name="page25"/>
    <w:bookmarkEnd w:id="24"/>
    <w:p>
      <w:pPr>
        <w:ind w:right="40" w:firstLine="44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Section 1.02</w:t>
      </w:r>
      <w:r>
        <w:rPr>
          <w:rFonts w:ascii="Times New Roman" w:cs="Times New Roman" w:eastAsia="Times New Roman" w:hAnsi="Times New Roman"/>
          <w:sz w:val="18"/>
          <w:szCs w:val="18"/>
          <w:i w:val="1"/>
          <w:iCs w:val="1"/>
          <w:color w:val="auto"/>
        </w:rPr>
        <w:t>. References to Interest.</w:t>
      </w:r>
      <w:r>
        <w:rPr>
          <w:rFonts w:ascii="Times New Roman" w:cs="Times New Roman" w:eastAsia="Times New Roman" w:hAnsi="Times New Roman"/>
          <w:sz w:val="18"/>
          <w:szCs w:val="18"/>
          <w:color w:val="auto"/>
        </w:rPr>
        <w:t xml:space="preserve"> Unless the context otherwise requires, any reference to interest on, or in respect of, any Note in this Indenture shall be deemed to include Additional Interest if, in such context, Additional Interest is, was or would be payable pursuant to any of Section 4.06(d), Section 4.06(e) and Section 6.03. Unless the context otherwise requires, any express mention of Additional Interest in any provision hereof shall not be construed as excluding Additional Interest in those provisions hereof where such express mention is not made.</w:t>
      </w:r>
    </w:p>
    <w:p>
      <w:pPr>
        <w:spacing w:after="0" w:line="18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ARTICLE 2</w:t>
      </w:r>
    </w:p>
    <w:p>
      <w:pPr>
        <w:spacing w:after="0" w:line="2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I</w:t>
      </w:r>
      <w:r>
        <w:rPr>
          <w:rFonts w:ascii="Times New Roman" w:cs="Times New Roman" w:eastAsia="Times New Roman" w:hAnsi="Times New Roman"/>
          <w:sz w:val="14"/>
          <w:szCs w:val="14"/>
          <w:color w:val="auto"/>
        </w:rPr>
        <w:t>SSUE</w:t>
      </w:r>
      <w:r>
        <w:rPr>
          <w:rFonts w:ascii="Times New Roman" w:cs="Times New Roman" w:eastAsia="Times New Roman" w:hAnsi="Times New Roman"/>
          <w:sz w:val="18"/>
          <w:szCs w:val="18"/>
          <w:color w:val="auto"/>
        </w:rPr>
        <w:t>, D</w:t>
      </w:r>
      <w:r>
        <w:rPr>
          <w:rFonts w:ascii="Times New Roman" w:cs="Times New Roman" w:eastAsia="Times New Roman" w:hAnsi="Times New Roman"/>
          <w:sz w:val="14"/>
          <w:szCs w:val="14"/>
          <w:color w:val="auto"/>
        </w:rPr>
        <w:t>ESCRIPTION</w:t>
      </w:r>
      <w:r>
        <w:rPr>
          <w:rFonts w:ascii="Times New Roman" w:cs="Times New Roman" w:eastAsia="Times New Roman" w:hAnsi="Times New Roman"/>
          <w:sz w:val="18"/>
          <w:szCs w:val="18"/>
          <w:color w:val="auto"/>
        </w:rPr>
        <w:t>, E</w:t>
      </w:r>
      <w:r>
        <w:rPr>
          <w:rFonts w:ascii="Times New Roman" w:cs="Times New Roman" w:eastAsia="Times New Roman" w:hAnsi="Times New Roman"/>
          <w:sz w:val="14"/>
          <w:szCs w:val="14"/>
          <w:color w:val="auto"/>
        </w:rPr>
        <w:t>XECUTION</w:t>
      </w:r>
      <w:r>
        <w:rPr>
          <w:rFonts w:ascii="Times New Roman" w:cs="Times New Roman" w:eastAsia="Times New Roman" w:hAnsi="Times New Roman"/>
          <w:sz w:val="18"/>
          <w:szCs w:val="18"/>
          <w:color w:val="auto"/>
        </w:rPr>
        <w:t>, R</w:t>
      </w:r>
      <w:r>
        <w:rPr>
          <w:rFonts w:ascii="Times New Roman" w:cs="Times New Roman" w:eastAsia="Times New Roman" w:hAnsi="Times New Roman"/>
          <w:sz w:val="14"/>
          <w:szCs w:val="14"/>
          <w:color w:val="auto"/>
        </w:rPr>
        <w:t>EGISTRATION AND</w:t>
      </w:r>
      <w:r>
        <w:rPr>
          <w:rFonts w:ascii="Times New Roman" w:cs="Times New Roman" w:eastAsia="Times New Roman" w:hAnsi="Times New Roman"/>
          <w:sz w:val="18"/>
          <w:szCs w:val="18"/>
          <w:color w:val="auto"/>
        </w:rPr>
        <w:t xml:space="preserve"> E</w:t>
      </w:r>
      <w:r>
        <w:rPr>
          <w:rFonts w:ascii="Times New Roman" w:cs="Times New Roman" w:eastAsia="Times New Roman" w:hAnsi="Times New Roman"/>
          <w:sz w:val="14"/>
          <w:szCs w:val="14"/>
          <w:color w:val="auto"/>
        </w:rPr>
        <w:t>XCHANGE OF</w:t>
      </w:r>
      <w:r>
        <w:rPr>
          <w:rFonts w:ascii="Times New Roman" w:cs="Times New Roman" w:eastAsia="Times New Roman" w:hAnsi="Times New Roman"/>
          <w:sz w:val="18"/>
          <w:szCs w:val="18"/>
          <w:color w:val="auto"/>
        </w:rPr>
        <w:t xml:space="preserve"> N</w:t>
      </w:r>
      <w:r>
        <w:rPr>
          <w:rFonts w:ascii="Times New Roman" w:cs="Times New Roman" w:eastAsia="Times New Roman" w:hAnsi="Times New Roman"/>
          <w:sz w:val="14"/>
          <w:szCs w:val="14"/>
          <w:color w:val="auto"/>
        </w:rPr>
        <w:t>OTES</w:t>
      </w:r>
    </w:p>
    <w:p>
      <w:pPr>
        <w:spacing w:after="0" w:line="205" w:lineRule="exact"/>
        <w:rPr>
          <w:sz w:val="20"/>
          <w:szCs w:val="20"/>
          <w:color w:val="auto"/>
        </w:rPr>
      </w:pPr>
    </w:p>
    <w:p>
      <w:pPr>
        <w:ind w:right="20" w:firstLine="440"/>
        <w:spacing w:after="0" w:line="258" w:lineRule="auto"/>
        <w:rPr>
          <w:sz w:val="20"/>
          <w:szCs w:val="20"/>
          <w:color w:val="auto"/>
        </w:rPr>
      </w:pPr>
      <w:r>
        <w:rPr>
          <w:rFonts w:ascii="Times New Roman" w:cs="Times New Roman" w:eastAsia="Times New Roman" w:hAnsi="Times New Roman"/>
          <w:sz w:val="18"/>
          <w:szCs w:val="18"/>
          <w:color w:val="auto"/>
        </w:rPr>
        <w:t>Section 2.01</w:t>
      </w:r>
      <w:r>
        <w:rPr>
          <w:rFonts w:ascii="Times New Roman" w:cs="Times New Roman" w:eastAsia="Times New Roman" w:hAnsi="Times New Roman"/>
          <w:sz w:val="18"/>
          <w:szCs w:val="18"/>
          <w:i w:val="1"/>
          <w:iCs w:val="1"/>
          <w:color w:val="auto"/>
        </w:rPr>
        <w:t>. Designation and Amount.</w:t>
      </w:r>
      <w:r>
        <w:rPr>
          <w:rFonts w:ascii="Times New Roman" w:cs="Times New Roman" w:eastAsia="Times New Roman" w:hAnsi="Times New Roman"/>
          <w:sz w:val="18"/>
          <w:szCs w:val="18"/>
          <w:color w:val="auto"/>
        </w:rPr>
        <w:t xml:space="preserve"> The Notes shall be designated as the “2.25% Convertible Senior Notes due 2032.” The aggregate principal amount of Notes that may be authenticated and delivered under this Indenture is initially limited to $700,000,000 (as increased by an amount equal to the aggregate principal amount of any additional Notes purchased by the Initial Purchasers pursuant to the exercise of their option to purchase additional Notes as set forth in the Purchase Agreement), subject to Section 2.10 and except for Notes authenticated and delivered upon registration or transfer of, or in exchange for, or in lieu of other Notes to the extent expressly permitted hereunder.</w:t>
      </w:r>
    </w:p>
    <w:p>
      <w:pPr>
        <w:spacing w:after="0" w:line="183" w:lineRule="exact"/>
        <w:rPr>
          <w:sz w:val="20"/>
          <w:szCs w:val="20"/>
          <w:color w:val="auto"/>
        </w:rPr>
      </w:pPr>
    </w:p>
    <w:p>
      <w:pPr>
        <w:ind w:firstLine="440"/>
        <w:spacing w:after="0" w:line="258" w:lineRule="auto"/>
        <w:rPr>
          <w:sz w:val="20"/>
          <w:szCs w:val="20"/>
          <w:color w:val="auto"/>
        </w:rPr>
      </w:pPr>
      <w:r>
        <w:rPr>
          <w:rFonts w:ascii="Times New Roman" w:cs="Times New Roman" w:eastAsia="Times New Roman" w:hAnsi="Times New Roman"/>
          <w:sz w:val="18"/>
          <w:szCs w:val="18"/>
          <w:color w:val="auto"/>
        </w:rPr>
        <w:t>Section 2.02</w:t>
      </w:r>
      <w:r>
        <w:rPr>
          <w:rFonts w:ascii="Times New Roman" w:cs="Times New Roman" w:eastAsia="Times New Roman" w:hAnsi="Times New Roman"/>
          <w:sz w:val="18"/>
          <w:szCs w:val="18"/>
          <w:i w:val="1"/>
          <w:iCs w:val="1"/>
          <w:color w:val="auto"/>
        </w:rPr>
        <w:t>. Form of Notes.</w:t>
      </w:r>
      <w:r>
        <w:rPr>
          <w:rFonts w:ascii="Times New Roman" w:cs="Times New Roman" w:eastAsia="Times New Roman" w:hAnsi="Times New Roman"/>
          <w:sz w:val="18"/>
          <w:szCs w:val="18"/>
          <w:color w:val="auto"/>
        </w:rPr>
        <w:t xml:space="preserve"> The Notes and the Trustee’s certificate of authentication to be borne by such Notes shall be substantially in the respective forms set forth in Exhibit A, the terms and provisions of which shall constitute, and are hereby expressly incorporated in and made a part of this Indenture. To the extent applicable, the Company and the Trustee, by their execution and delivery of this Indenture, expressly agree to such terms and provisions and to be bound thereby. In the case of any conflict between this Indenture and the Note, the provisions of this Indenture shall control and govern to the extent of such conflict.</w:t>
      </w:r>
    </w:p>
    <w:p>
      <w:pPr>
        <w:spacing w:after="0" w:line="185" w:lineRule="exact"/>
        <w:rPr>
          <w:sz w:val="20"/>
          <w:szCs w:val="20"/>
          <w:color w:val="auto"/>
        </w:rPr>
      </w:pPr>
    </w:p>
    <w:p>
      <w:pPr>
        <w:ind w:right="60" w:firstLine="440"/>
        <w:spacing w:after="0" w:line="258" w:lineRule="auto"/>
        <w:rPr>
          <w:sz w:val="20"/>
          <w:szCs w:val="20"/>
          <w:color w:val="auto"/>
        </w:rPr>
      </w:pPr>
      <w:r>
        <w:rPr>
          <w:rFonts w:ascii="Times New Roman" w:cs="Times New Roman" w:eastAsia="Times New Roman" w:hAnsi="Times New Roman"/>
          <w:sz w:val="18"/>
          <w:szCs w:val="18"/>
          <w:color w:val="auto"/>
        </w:rPr>
        <w:t>Any Global Note may be endorsed with or have incorporated in the text thereof such legends or recitals or changes not inconsistent with the provisions of this Indenture as may be required by the Custodian or the Depositary, or as may be required to comply with any applicable law or any regulation thereunder or with the rules and regulations of any securities exchange or automated quotation system upon which the Notes may be listed or traded or designated for issuance or to conform with any usage with respect thereto, or to indicate any special limitations or restrictions to which any particular Notes are subject.</w:t>
      </w:r>
    </w:p>
    <w:p>
      <w:pPr>
        <w:spacing w:after="0" w:line="183" w:lineRule="exact"/>
        <w:rPr>
          <w:sz w:val="20"/>
          <w:szCs w:val="20"/>
          <w:color w:val="auto"/>
        </w:rPr>
      </w:pPr>
    </w:p>
    <w:p>
      <w:pPr>
        <w:ind w:right="220" w:firstLine="440"/>
        <w:spacing w:after="0" w:line="258" w:lineRule="auto"/>
        <w:rPr>
          <w:sz w:val="20"/>
          <w:szCs w:val="20"/>
          <w:color w:val="auto"/>
        </w:rPr>
      </w:pPr>
      <w:r>
        <w:rPr>
          <w:rFonts w:ascii="Times New Roman" w:cs="Times New Roman" w:eastAsia="Times New Roman" w:hAnsi="Times New Roman"/>
          <w:sz w:val="18"/>
          <w:szCs w:val="18"/>
          <w:color w:val="auto"/>
        </w:rPr>
        <w:t>Any of the Notes may have such letters, numbers or other marks of identification and such notations, legends or endorsements as the Officer executing the same may approve (execution thereof to be conclusive evidence of such approval) and as are not inconsistent with the provisions of this Indenture, or as may be required to comply with any law or with any rule or regulation made pursuant thereto or with any rule or regulation of any securities exchange or automated quotation system on which the Notes may be listed or designated for issuance, or to conform to usage or to indicate any special limitations or restrictions to which any particular Notes are subject.</w:t>
      </w:r>
    </w:p>
    <w:p>
      <w:pPr>
        <w:spacing w:after="0" w:line="11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14</w:t>
      </w:r>
    </w:p>
    <w:p>
      <w:pPr>
        <w:sectPr>
          <w:pgSz w:w="11900" w:h="16838" w:orient="portrait"/>
          <w:cols w:equalWidth="0" w:num="1">
            <w:col w:w="11000"/>
          </w:cols>
          <w:pgMar w:left="440" w:top="268" w:right="459" w:bottom="1440" w:gutter="0" w:footer="0" w:header="0"/>
        </w:sectPr>
      </w:pPr>
    </w:p>
    <w:bookmarkStart w:id="25" w:name="page26"/>
    <w:bookmarkEnd w:id="25"/>
    <w:p>
      <w:pPr>
        <w:ind w:right="20" w:firstLine="440"/>
        <w:spacing w:after="0" w:line="272" w:lineRule="auto"/>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Each Global Note shall represent such principal amount of the outstanding Notes as shall be specified therein and shall provide that it shall represent the aggregate principal amount of outstanding Notes from time to time endorsed thereon and that the aggregate principal amount of outstanding Notes represented thereby may from time to time be increased or reduced to reflect redemptions, repurchases, cancellations, conversions, transfers or exchanges permitted hereby. Any endorsement of a Global Note to reflect the amount of any increase or decrease in the amount of outstanding Notes represented thereby shall be made by the Trustee or the Custodian, at the direction of the Trustee, in such manner and upon instructions given by the Holder of such Notes in accordance with this Indenture. Payment of principal (including the Redemption Price, the Repurchase Price and the Fundamental Change Repurchase Price, if applicable) of, and accrued and unpaid interest on, a Global Note shall be made to the Holder of such Note on the date of payment, unless a record date or other means of determining Holders eligible to receive payment is provided for herein.</w:t>
      </w:r>
    </w:p>
    <w:p>
      <w:pPr>
        <w:spacing w:after="0" w:line="170" w:lineRule="exact"/>
        <w:rPr>
          <w:sz w:val="20"/>
          <w:szCs w:val="20"/>
          <w:color w:val="auto"/>
        </w:rPr>
      </w:pPr>
    </w:p>
    <w:p>
      <w:pPr>
        <w:ind w:right="80" w:firstLine="440"/>
        <w:spacing w:after="0" w:line="281" w:lineRule="auto"/>
        <w:rPr>
          <w:sz w:val="20"/>
          <w:szCs w:val="20"/>
          <w:color w:val="auto"/>
        </w:rPr>
      </w:pPr>
      <w:r>
        <w:rPr>
          <w:rFonts w:ascii="Times New Roman" w:cs="Times New Roman" w:eastAsia="Times New Roman" w:hAnsi="Times New Roman"/>
          <w:sz w:val="17"/>
          <w:szCs w:val="17"/>
          <w:color w:val="auto"/>
        </w:rPr>
        <w:t>Section 2.03</w:t>
      </w:r>
      <w:r>
        <w:rPr>
          <w:rFonts w:ascii="Times New Roman" w:cs="Times New Roman" w:eastAsia="Times New Roman" w:hAnsi="Times New Roman"/>
          <w:sz w:val="17"/>
          <w:szCs w:val="17"/>
          <w:i w:val="1"/>
          <w:iCs w:val="1"/>
          <w:color w:val="auto"/>
        </w:rPr>
        <w:t>. Date and Denomination of Notes; Payments of Interest and Defaulted Amounts.</w:t>
      </w:r>
      <w:r>
        <w:rPr>
          <w:rFonts w:ascii="Times New Roman" w:cs="Times New Roman" w:eastAsia="Times New Roman" w:hAnsi="Times New Roman"/>
          <w:sz w:val="17"/>
          <w:szCs w:val="17"/>
          <w:color w:val="auto"/>
        </w:rPr>
        <w:t xml:space="preserve"> (a) The Notes shall be issuable in registered form without coupons in minimum denominations of $1,000 principal amount and multiples of $1,000 in excess thereof. Each Note shall be dated the date of its authentication and shall bear interest from the date specified on the face of such Note. Accrued interest on the Notes shall be computed on the basis of a 360-day year composed of twelve 30-day months and, for partial months, on the basis of the number of days actually elapsed in a 30-day month.</w:t>
      </w:r>
    </w:p>
    <w:p>
      <w:pPr>
        <w:spacing w:after="0" w:line="166" w:lineRule="exact"/>
        <w:rPr>
          <w:sz w:val="20"/>
          <w:szCs w:val="20"/>
          <w:color w:val="auto"/>
        </w:rPr>
      </w:pPr>
    </w:p>
    <w:p>
      <w:pPr>
        <w:ind w:firstLine="436"/>
        <w:spacing w:after="0" w:line="253" w:lineRule="auto"/>
        <w:tabs>
          <w:tab w:leader="none" w:pos="695" w:val="left"/>
        </w:tabs>
        <w:numPr>
          <w:ilvl w:val="0"/>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Person in whose name any Note (or its Predecessor Note) is registered on the Note Register at the close of business on any Regular Record Date with respect to any Interest Payment Date shall be entitled to receive the interest payable on such Interest Payment Date. The principal amount of any Note (x) in the case of any Physical Note, shall be payable at the office or agency of the Company maintained by the Company for such purposes in the United States, which shall initially be the Corporate Trust Office and (y) in the case of any Global Note, shall be payable by wire transfer of immediately available funds to the account of the Depositary or its nominee. The Company shall pay interest (i) on any Physical Notes (A) to Holders holding Physical Notes having an aggregate principal amount of $5,000,000 or less, by check mailed to the Holders of these Notes at their address as it appears in the Note Register and (B) to Holders holding Physical Notes having an aggregate principal amount of more than $5,000,000, either by check mailed to each Holder or, upon application by such a Holder to the Note Registrar not later than the relevant Regular Record Date, by wire transfer in immediately available funds to that Holder’s account within the United States, which application shall remain in effect until the Holder notifies, in writing, the Note Registrar to the contrary or (ii) on any Global Note by wire transfer of immediately available funds to the account of the Depositary or its nominee.</w:t>
      </w:r>
    </w:p>
    <w:p>
      <w:pPr>
        <w:spacing w:after="0" w:line="191" w:lineRule="exact"/>
        <w:rPr>
          <w:rFonts w:ascii="Times New Roman" w:cs="Times New Roman" w:eastAsia="Times New Roman" w:hAnsi="Times New Roman"/>
          <w:sz w:val="18"/>
          <w:szCs w:val="18"/>
          <w:color w:val="auto"/>
        </w:rPr>
      </w:pPr>
    </w:p>
    <w:p>
      <w:pPr>
        <w:jc w:val="both"/>
        <w:ind w:right="160" w:firstLine="436"/>
        <w:spacing w:after="0" w:line="266" w:lineRule="auto"/>
        <w:tabs>
          <w:tab w:leader="none" w:pos="685" w:val="left"/>
        </w:tabs>
        <w:numPr>
          <w:ilvl w:val="0"/>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Defaulted Amounts shall forthwith cease to be payable to the Holder on the relevant payment date but shall accrue interest per annum at the rate borne by the Notes from, and including, such relevant payment date, and such Defaulted Amounts together with such interest thereon shall be paid by the Company, at its election in each case, as provided in clause (i) or (ii) below:</w:t>
      </w:r>
    </w:p>
    <w:p>
      <w:pPr>
        <w:spacing w:after="0" w:line="1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15</w:t>
      </w:r>
    </w:p>
    <w:p>
      <w:pPr>
        <w:sectPr>
          <w:pgSz w:w="11900" w:h="16838" w:orient="portrait"/>
          <w:cols w:equalWidth="0" w:num="1">
            <w:col w:w="11000"/>
          </w:cols>
          <w:pgMar w:left="440" w:top="270" w:right="459" w:bottom="1440" w:gutter="0" w:footer="0" w:header="0"/>
        </w:sectPr>
      </w:pPr>
    </w:p>
    <w:bookmarkStart w:id="26" w:name="page27"/>
    <w:bookmarkEnd w:id="26"/>
    <w:p>
      <w:pPr>
        <w:ind w:left="440" w:right="100" w:firstLine="419"/>
        <w:spacing w:after="0" w:line="252" w:lineRule="auto"/>
        <w:tabs>
          <w:tab w:leader="none" w:pos="1078" w:val="left"/>
        </w:tabs>
        <w:numPr>
          <w:ilvl w:val="0"/>
          <w:numId w:val="1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5">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The Company may elect to make payment of any Defaulted Amounts to the Persons in whose names the Notes (or their respective Predecessor Notes) are registered at the close of business on a special record date for the payment of such Defaulted Amounts, which shall be fixed in the following manner. The Company shall notify the Trustee in writing of the amount of the Defaulted Amounts proposed to be paid on each Note and the date of the proposed payment (which shall be not less than 25 days after the receipt by the Trustee of such notice, unless the Trustee shall consent to an earlier date), and at the same time the Company shall deposit with the Trustee an amount of money equal to the aggregate amount to be paid in respect of such Defaulted Amounts or shall make arrangements satisfactory to the Trustee for such deposit on or prior to the date of the proposed payment, such money when deposited to be held in trust for the benefit of the Persons entitled to such Defaulted Amounts as in this clause provided. Thereupon the Company shall fix a special record date for the payment of such Defaulted Amounts which shall be not more than 15 days and not less than 10 days prior to the date of the proposed payment, and not less than 10 days after the receipt by the Trustee of the notice of the proposed payment. The Company shall promptly notify the Trustee of such special record date and the Trustee, in the name and at the expense of the Company, shall cause notice of the proposed payment of such Defaulted Amounts and the special record date therefor to be delivered to each Holder not less than 10 days prior to such special record date. Notice of the proposed payment of such Defaulted Amounts and the special record date therefor having been so delivered, such Defaulted Amounts shall be paid to the Persons in whose names the Notes (or their respective Predecessor Notes) are registered at the close of business on such special record date and shall no longer be payable pursuant to the following clause (ii) of this Section 2.03(c).</w:t>
      </w:r>
    </w:p>
    <w:p>
      <w:pPr>
        <w:spacing w:after="0" w:line="87" w:lineRule="exact"/>
        <w:rPr>
          <w:rFonts w:ascii="Times New Roman" w:cs="Times New Roman" w:eastAsia="Times New Roman" w:hAnsi="Times New Roman"/>
          <w:sz w:val="18"/>
          <w:szCs w:val="18"/>
          <w:color w:val="auto"/>
        </w:rPr>
      </w:pPr>
    </w:p>
    <w:p>
      <w:pPr>
        <w:jc w:val="both"/>
        <w:ind w:left="440" w:right="60" w:firstLine="419"/>
        <w:spacing w:after="0" w:line="261" w:lineRule="auto"/>
        <w:tabs>
          <w:tab w:leader="none" w:pos="1128" w:val="left"/>
        </w:tabs>
        <w:numPr>
          <w:ilvl w:val="0"/>
          <w:numId w:val="1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may make payment of any Defaulted Amounts in any other lawful manner not inconsistent with the requirements of any securities exchange or automated quotation system on which the Notes may be listed or designated for issuance, and upon such notice as may be required by such exchange or automated quotation system, if, after notice given by the Company to the Trustee of the proposed payment pursuant to this clause, such manner of payment shall be deemed practicable by the Trustee.</w:t>
      </w:r>
    </w:p>
    <w:p>
      <w:pPr>
        <w:spacing w:after="0" w:line="178" w:lineRule="exact"/>
        <w:rPr>
          <w:sz w:val="20"/>
          <w:szCs w:val="20"/>
          <w:color w:val="auto"/>
        </w:rPr>
      </w:pPr>
    </w:p>
    <w:p>
      <w:pPr>
        <w:ind w:right="60" w:firstLine="440"/>
        <w:spacing w:after="0" w:line="267" w:lineRule="auto"/>
        <w:rPr>
          <w:sz w:val="20"/>
          <w:szCs w:val="20"/>
          <w:color w:val="auto"/>
        </w:rPr>
      </w:pPr>
      <w:r>
        <w:rPr>
          <w:rFonts w:ascii="Times New Roman" w:cs="Times New Roman" w:eastAsia="Times New Roman" w:hAnsi="Times New Roman"/>
          <w:sz w:val="18"/>
          <w:szCs w:val="18"/>
          <w:color w:val="auto"/>
        </w:rPr>
        <w:t>Section 2.04</w:t>
      </w:r>
      <w:r>
        <w:rPr>
          <w:rFonts w:ascii="Times New Roman" w:cs="Times New Roman" w:eastAsia="Times New Roman" w:hAnsi="Times New Roman"/>
          <w:sz w:val="18"/>
          <w:szCs w:val="18"/>
          <w:i w:val="1"/>
          <w:iCs w:val="1"/>
          <w:color w:val="auto"/>
        </w:rPr>
        <w:t>. Execution, Authentication and Delivery of Notes.</w:t>
      </w:r>
      <w:r>
        <w:rPr>
          <w:rFonts w:ascii="Times New Roman" w:cs="Times New Roman" w:eastAsia="Times New Roman" w:hAnsi="Times New Roman"/>
          <w:sz w:val="18"/>
          <w:szCs w:val="18"/>
          <w:color w:val="auto"/>
        </w:rPr>
        <w:t xml:space="preserve"> The Notes shall be signed in the name and on behalf of the Company by the manual, electronic or facsimile signature of its Executive Chairman, Chief Executive Officer, President, Chief Financial Officer, Treasurer, Secretary or any of its Executive or Senior Vice Presidents.</w:t>
      </w:r>
    </w:p>
    <w:p>
      <w:pPr>
        <w:spacing w:after="0" w:line="175" w:lineRule="exact"/>
        <w:rPr>
          <w:sz w:val="20"/>
          <w:szCs w:val="20"/>
          <w:color w:val="auto"/>
        </w:rPr>
      </w:pPr>
    </w:p>
    <w:p>
      <w:pPr>
        <w:ind w:firstLine="440"/>
        <w:spacing w:after="0" w:line="261" w:lineRule="auto"/>
        <w:rPr>
          <w:sz w:val="20"/>
          <w:szCs w:val="20"/>
          <w:color w:val="auto"/>
        </w:rPr>
      </w:pPr>
      <w:r>
        <w:rPr>
          <w:rFonts w:ascii="Times New Roman" w:cs="Times New Roman" w:eastAsia="Times New Roman" w:hAnsi="Times New Roman"/>
          <w:sz w:val="18"/>
          <w:szCs w:val="18"/>
          <w:color w:val="auto"/>
        </w:rPr>
        <w:t>At any time and from time to time after the execution and delivery of this Indenture, the Company may deliver Notes executed by the Company to the Trustee for authentication, together with a Company Order for the authentication and delivery of such Notes, and the Trustee in accordance with such Company Order shall authenticate and deliver such Notes, without any further action by the Company hereunder. For the avoidance of doubt, the Trustee shall not be obligated to authenticate a Note hereunder unless and until it has received a Company Order in accordance with the terms hereof.</w:t>
      </w:r>
    </w:p>
    <w:p>
      <w:pPr>
        <w:spacing w:after="0" w:line="112"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16</w:t>
      </w:r>
    </w:p>
    <w:p>
      <w:pPr>
        <w:sectPr>
          <w:pgSz w:w="11900" w:h="16838" w:orient="portrait"/>
          <w:cols w:equalWidth="0" w:num="1">
            <w:col w:w="10980"/>
          </w:cols>
          <w:pgMar w:left="440" w:top="270" w:right="479" w:bottom="1440" w:gutter="0" w:footer="0" w:header="0"/>
        </w:sectPr>
      </w:pPr>
    </w:p>
    <w:bookmarkStart w:id="27" w:name="page28"/>
    <w:bookmarkEnd w:id="27"/>
    <w:p>
      <w:pPr>
        <w:ind w:right="120" w:firstLine="440"/>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Only such Notes as shall bear thereon a certificate of authentication substantially in the form set forth on the Form of Note attached as Exhibit A hereto, executed manually or by facsimile by an authorized officer of the Trustee (or an authenticating agent appointed by the Trustee as provided by Section 17.10), shall be entitled to the benefits of this Indenture or be valid or obligatory for any purpose. Such certificate by the Trustee (or such an authenticating agent) upon any Note executed by the Company shall be conclusive evidence that the Note so authenticated has been duly authenticated and delivered hereunder and that the Holder is entitled to the benefits of this Indenture.</w:t>
      </w:r>
    </w:p>
    <w:p>
      <w:pPr>
        <w:spacing w:after="0" w:line="183" w:lineRule="exact"/>
        <w:rPr>
          <w:sz w:val="20"/>
          <w:szCs w:val="20"/>
          <w:color w:val="auto"/>
        </w:rPr>
      </w:pPr>
    </w:p>
    <w:p>
      <w:pPr>
        <w:ind w:right="220" w:firstLine="440"/>
        <w:spacing w:after="0" w:line="258" w:lineRule="auto"/>
        <w:rPr>
          <w:sz w:val="20"/>
          <w:szCs w:val="20"/>
          <w:color w:val="auto"/>
        </w:rPr>
      </w:pPr>
      <w:r>
        <w:rPr>
          <w:rFonts w:ascii="Times New Roman" w:cs="Times New Roman" w:eastAsia="Times New Roman" w:hAnsi="Times New Roman"/>
          <w:sz w:val="18"/>
          <w:szCs w:val="18"/>
          <w:color w:val="auto"/>
        </w:rPr>
        <w:t>In case any Officer of the Company who shall have signed any of the Notes shall cease to be such Officer before the Notes so signed shall have been authenticated and delivered by the Trustee, or disposed of by the Company, such Notes nevertheless may be authenticated and delivered or disposed of as though the person who signed such Notes had not ceased to be such Officer of the Company; and any Note may be signed on behalf of the Company by such persons as, at the actual date of the execution of such Note, shall be the Officers of the Company, although at the date of the execution of this Indenture any such person was not such an Officer.</w:t>
      </w:r>
    </w:p>
    <w:p>
      <w:pPr>
        <w:spacing w:after="0" w:line="181" w:lineRule="exact"/>
        <w:rPr>
          <w:sz w:val="20"/>
          <w:szCs w:val="20"/>
          <w:color w:val="auto"/>
        </w:rPr>
      </w:pPr>
    </w:p>
    <w:p>
      <w:pPr>
        <w:ind w:firstLine="440"/>
        <w:spacing w:after="0" w:line="257" w:lineRule="auto"/>
        <w:rPr>
          <w:sz w:val="20"/>
          <w:szCs w:val="20"/>
          <w:color w:val="auto"/>
        </w:rPr>
      </w:pPr>
      <w:r>
        <w:rPr>
          <w:rFonts w:ascii="Times New Roman" w:cs="Times New Roman" w:eastAsia="Times New Roman" w:hAnsi="Times New Roman"/>
          <w:sz w:val="18"/>
          <w:szCs w:val="18"/>
          <w:color w:val="auto"/>
        </w:rPr>
        <w:t>Section 2.05</w:t>
      </w:r>
      <w:r>
        <w:rPr>
          <w:rFonts w:ascii="Times New Roman" w:cs="Times New Roman" w:eastAsia="Times New Roman" w:hAnsi="Times New Roman"/>
          <w:sz w:val="18"/>
          <w:szCs w:val="18"/>
          <w:i w:val="1"/>
          <w:iCs w:val="1"/>
          <w:color w:val="auto"/>
        </w:rPr>
        <w:t>. Exchange and Registration of Transfer of Notes; Restrictions on Transfer; Depositary.</w:t>
      </w:r>
      <w:r>
        <w:rPr>
          <w:rFonts w:ascii="Times New Roman" w:cs="Times New Roman" w:eastAsia="Times New Roman" w:hAnsi="Times New Roman"/>
          <w:sz w:val="18"/>
          <w:szCs w:val="18"/>
          <w:color w:val="auto"/>
        </w:rPr>
        <w:t xml:space="preserve"> (a) The Company shall cause to be kept at the Corporate Trust Office a register (the register maintained in such office or in any other office or agency of the Company designated pursuant to Section 4.02, the “</w:t>
      </w:r>
      <w:r>
        <w:rPr>
          <w:rFonts w:ascii="Times New Roman" w:cs="Times New Roman" w:eastAsia="Times New Roman" w:hAnsi="Times New Roman"/>
          <w:sz w:val="18"/>
          <w:szCs w:val="18"/>
          <w:b w:val="1"/>
          <w:bCs w:val="1"/>
          <w:color w:val="auto"/>
        </w:rPr>
        <w:t>Note Register</w:t>
      </w:r>
      <w:r>
        <w:rPr>
          <w:rFonts w:ascii="Times New Roman" w:cs="Times New Roman" w:eastAsia="Times New Roman" w:hAnsi="Times New Roman"/>
          <w:sz w:val="18"/>
          <w:szCs w:val="18"/>
          <w:color w:val="auto"/>
        </w:rPr>
        <w:t>”) in which, subject to such reasonable regulations as it may prescribe, the Company shall provide for the registration of Notes and of transfers of Notes. Such register shall be in written form or in any form capable of being converted into written form within a reasonable period of time. The Trustee is hereby initially appointed the “</w:t>
      </w:r>
      <w:r>
        <w:rPr>
          <w:rFonts w:ascii="Times New Roman" w:cs="Times New Roman" w:eastAsia="Times New Roman" w:hAnsi="Times New Roman"/>
          <w:sz w:val="18"/>
          <w:szCs w:val="18"/>
          <w:b w:val="1"/>
          <w:bCs w:val="1"/>
          <w:color w:val="auto"/>
        </w:rPr>
        <w:t>Note Registrar</w:t>
      </w:r>
      <w:r>
        <w:rPr>
          <w:rFonts w:ascii="Times New Roman" w:cs="Times New Roman" w:eastAsia="Times New Roman" w:hAnsi="Times New Roman"/>
          <w:sz w:val="18"/>
          <w:szCs w:val="18"/>
          <w:color w:val="auto"/>
        </w:rPr>
        <w:t>” for the purpose of registering Notes and transfers of Notes as herein provided. The Company may appoint one or more co-Note Registrars in accordance with Section 4.02.</w:t>
      </w:r>
    </w:p>
    <w:p>
      <w:pPr>
        <w:spacing w:after="0" w:line="184" w:lineRule="exact"/>
        <w:rPr>
          <w:sz w:val="20"/>
          <w:szCs w:val="20"/>
          <w:color w:val="auto"/>
        </w:rPr>
      </w:pPr>
    </w:p>
    <w:p>
      <w:pPr>
        <w:ind w:right="60" w:firstLine="440"/>
        <w:spacing w:after="0" w:line="261" w:lineRule="auto"/>
        <w:rPr>
          <w:sz w:val="20"/>
          <w:szCs w:val="20"/>
          <w:color w:val="auto"/>
        </w:rPr>
      </w:pPr>
      <w:r>
        <w:rPr>
          <w:rFonts w:ascii="Times New Roman" w:cs="Times New Roman" w:eastAsia="Times New Roman" w:hAnsi="Times New Roman"/>
          <w:sz w:val="18"/>
          <w:szCs w:val="18"/>
          <w:color w:val="auto"/>
        </w:rPr>
        <w:t>Upon surrender for registration of transfer of any Note to the Note Registrar or any co-Note Registrar, and satisfaction of the requirements for such transfer set forth in this Section 2.05, the Company shall execute, and upon receipt of a Company Order, the Trustee shall authenticate and deliver, in the name of the designated transferee or transferees, one or more new Notes of any authorized denominations and of a like aggregate principal amount and bearing such restrictive legends as may be required by this Indenture.</w:t>
      </w:r>
    </w:p>
    <w:p>
      <w:pPr>
        <w:spacing w:after="0" w:line="180" w:lineRule="exact"/>
        <w:rPr>
          <w:sz w:val="20"/>
          <w:szCs w:val="20"/>
          <w:color w:val="auto"/>
        </w:rPr>
      </w:pPr>
    </w:p>
    <w:p>
      <w:pPr>
        <w:ind w:right="140" w:firstLine="440"/>
        <w:spacing w:after="0" w:line="261" w:lineRule="auto"/>
        <w:rPr>
          <w:sz w:val="20"/>
          <w:szCs w:val="20"/>
          <w:color w:val="auto"/>
        </w:rPr>
      </w:pPr>
      <w:r>
        <w:rPr>
          <w:rFonts w:ascii="Times New Roman" w:cs="Times New Roman" w:eastAsia="Times New Roman" w:hAnsi="Times New Roman"/>
          <w:sz w:val="18"/>
          <w:szCs w:val="18"/>
          <w:color w:val="auto"/>
        </w:rPr>
        <w:t>Notes may be exchanged for other Notes of any authorized denominations and of a like aggregate principal amount, upon surrender of the Notes to be exchanged at any such office or agency maintained by the Company pursuant to Section 4.02. Whenever any Notes are so surrendered for exchange, the Company shall execute, and upon receipt of a Company Order, the Trustee shall authenticate and deliver, the Notes that the Holder making the exchange is entitled to receive, bearing registration numbers not contemporaneously outstanding.</w:t>
      </w:r>
    </w:p>
    <w:p>
      <w:pPr>
        <w:spacing w:after="0" w:line="180" w:lineRule="exact"/>
        <w:rPr>
          <w:sz w:val="20"/>
          <w:szCs w:val="20"/>
          <w:color w:val="auto"/>
        </w:rPr>
      </w:pPr>
    </w:p>
    <w:p>
      <w:pPr>
        <w:ind w:right="60" w:firstLine="440"/>
        <w:spacing w:after="0" w:line="266" w:lineRule="auto"/>
        <w:rPr>
          <w:sz w:val="20"/>
          <w:szCs w:val="20"/>
          <w:color w:val="auto"/>
        </w:rPr>
      </w:pPr>
      <w:r>
        <w:rPr>
          <w:rFonts w:ascii="Times New Roman" w:cs="Times New Roman" w:eastAsia="Times New Roman" w:hAnsi="Times New Roman"/>
          <w:sz w:val="18"/>
          <w:szCs w:val="18"/>
          <w:color w:val="auto"/>
        </w:rPr>
        <w:t>All Notes presented or surrendered for registration of transfer or for exchange, repurchase or conversion shall (if so required by the Company, the Trustee, the Note Registrar or any co-Note Registrar) be duly endorsed, or be accompanied by a written instrument or instruments of transfer in form satisfactory to the Note Registrar and the Company and duly executed, by the Holder thereof or its attorney-in-fact duly authorized in writing.</w:t>
      </w:r>
    </w:p>
    <w:p>
      <w:pPr>
        <w:spacing w:after="0" w:line="108"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17</w:t>
      </w:r>
    </w:p>
    <w:p>
      <w:pPr>
        <w:sectPr>
          <w:pgSz w:w="11900" w:h="16838" w:orient="portrait"/>
          <w:cols w:equalWidth="0" w:num="1">
            <w:col w:w="10980"/>
          </w:cols>
          <w:pgMar w:left="440" w:top="270" w:right="479" w:bottom="1440" w:gutter="0" w:footer="0" w:header="0"/>
        </w:sectPr>
      </w:pPr>
    </w:p>
    <w:bookmarkStart w:id="28" w:name="page29"/>
    <w:bookmarkEnd w:id="28"/>
    <w:p>
      <w:pPr>
        <w:ind w:firstLine="440"/>
        <w:spacing w:after="0" w:line="281" w:lineRule="auto"/>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a:extLst>
                        <a:ext uri="{28A0092B-C50C-407E-A947-70E740481C1C}"/>
                      </a:extLst>
                    </a:blip>
                    <a:srcRect/>
                    <a:stretch>
                      <a:fillRect/>
                    </a:stretch>
                  </pic:blipFill>
                  <pic:spPr bwMode="auto">
                    <a:xfrm>
                      <a:off x="0" y="0"/>
                      <a:ext cx="7174865" cy="38100"/>
                    </a:xfrm>
                    <a:prstGeom prst="rect">
                      <a:avLst/>
                    </a:prstGeom>
                    <a:noFill/>
                  </pic:spPr>
                </pic:pic>
              </a:graphicData>
            </a:graphic>
          </wp:anchor>
        </w:drawing>
        <w:t>No service charge shall be imposed by the Company, the Trustee, the Note Registrar, any co-Note Registrar or the Paying Agent for any exchange or registration of transfer of Notes, but the Company, the Trustee or the Note Registrar may require a Holder to pay a sum sufficient to cover any documentary, stamp or similar issue or transfer tax required in connection therewith as a result of the name of the Holder of new Notes issued upon such exchange or registration of transfer being different from the name of the Holder of the old Notes surrendered for exchange or registration of transfer.</w:t>
      </w:r>
    </w:p>
    <w:p>
      <w:pPr>
        <w:spacing w:after="0" w:line="164" w:lineRule="exact"/>
        <w:rPr>
          <w:sz w:val="20"/>
          <w:szCs w:val="20"/>
          <w:color w:val="auto"/>
        </w:rPr>
      </w:pPr>
    </w:p>
    <w:p>
      <w:pPr>
        <w:ind w:firstLine="440"/>
        <w:spacing w:after="0" w:line="261" w:lineRule="auto"/>
        <w:rPr>
          <w:sz w:val="20"/>
          <w:szCs w:val="20"/>
          <w:color w:val="auto"/>
        </w:rPr>
      </w:pPr>
      <w:r>
        <w:rPr>
          <w:rFonts w:ascii="Times New Roman" w:cs="Times New Roman" w:eastAsia="Times New Roman" w:hAnsi="Times New Roman"/>
          <w:sz w:val="18"/>
          <w:szCs w:val="18"/>
          <w:color w:val="auto"/>
        </w:rPr>
        <w:t>None of the Company, the Trustee, the Note Registrar or any co-Note Registrar shall be required to exchange or register a transfer of (i) any Notes surrendered for conversion or, if a portion of any Note is surrendered for conversion, such portion thereof surrendered for conversion, (ii) any Notes, or a portion of any Note, surrendered for repurchase (and not withdrawn) in accordance with Article 15 or (iii) any Notes selected for redemption in accordance with Article 16, except the unredeemed portion of any Note being redeemed in part.</w:t>
      </w:r>
    </w:p>
    <w:p>
      <w:pPr>
        <w:spacing w:after="0" w:line="180" w:lineRule="exact"/>
        <w:rPr>
          <w:sz w:val="20"/>
          <w:szCs w:val="20"/>
          <w:color w:val="auto"/>
        </w:rPr>
      </w:pPr>
    </w:p>
    <w:p>
      <w:pPr>
        <w:ind w:right="20" w:firstLine="440"/>
        <w:spacing w:after="0" w:line="266" w:lineRule="auto"/>
        <w:rPr>
          <w:sz w:val="20"/>
          <w:szCs w:val="20"/>
          <w:color w:val="auto"/>
        </w:rPr>
      </w:pPr>
      <w:r>
        <w:rPr>
          <w:rFonts w:ascii="Times New Roman" w:cs="Times New Roman" w:eastAsia="Times New Roman" w:hAnsi="Times New Roman"/>
          <w:sz w:val="18"/>
          <w:szCs w:val="18"/>
          <w:color w:val="auto"/>
        </w:rPr>
        <w:t>All Notes issued upon any registration of transfer or exchange of Notes in accordance with this Indenture shall be the valid obligations of the Company, evidencing the same debt, and entitled to the same benefits under this Indenture as the Notes surrendered upon such registration of transfer or exchange.</w:t>
      </w:r>
    </w:p>
    <w:p>
      <w:pPr>
        <w:spacing w:after="0" w:line="176" w:lineRule="exact"/>
        <w:rPr>
          <w:sz w:val="20"/>
          <w:szCs w:val="20"/>
          <w:color w:val="auto"/>
        </w:rPr>
      </w:pPr>
    </w:p>
    <w:p>
      <w:pPr>
        <w:ind w:firstLine="436"/>
        <w:spacing w:after="0" w:line="258" w:lineRule="auto"/>
        <w:tabs>
          <w:tab w:leader="none" w:pos="695"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So long as the Notes are eligible for book-entry settlement with the Depositary, unless otherwise required by law, subject to the fourth paragraph from the end of Section 2.05(c) all Notes shall be represented by one or more Notes in global form, without interest coupons (each, a “</w:t>
      </w:r>
      <w:r>
        <w:rPr>
          <w:rFonts w:ascii="Times New Roman" w:cs="Times New Roman" w:eastAsia="Times New Roman" w:hAnsi="Times New Roman"/>
          <w:sz w:val="18"/>
          <w:szCs w:val="18"/>
          <w:b w:val="1"/>
          <w:bCs w:val="1"/>
          <w:color w:val="auto"/>
        </w:rPr>
        <w:t>Global</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Note</w:t>
      </w:r>
      <w:r>
        <w:rPr>
          <w:rFonts w:ascii="Times New Roman" w:cs="Times New Roman" w:eastAsia="Times New Roman" w:hAnsi="Times New Roman"/>
          <w:sz w:val="18"/>
          <w:szCs w:val="18"/>
          <w:color w:val="auto"/>
        </w:rPr>
        <w:t>”) registered in the name of the Depositary or the nominee of the Depositary. The transfer and exchange of beneficial interests in a Global Note that</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does not involve the issuance of a Physical Note shall be effected through the Depositary (but not the Trustee or the Custodian) in accordance with this Indenture (including the restrictions on transfer set forth herein) and the procedures of the Depositary therefor.</w:t>
      </w:r>
    </w:p>
    <w:p>
      <w:pPr>
        <w:spacing w:after="0" w:line="183" w:lineRule="exact"/>
        <w:rPr>
          <w:rFonts w:ascii="Times New Roman" w:cs="Times New Roman" w:eastAsia="Times New Roman" w:hAnsi="Times New Roman"/>
          <w:sz w:val="18"/>
          <w:szCs w:val="18"/>
          <w:color w:val="auto"/>
        </w:rPr>
      </w:pPr>
    </w:p>
    <w:p>
      <w:pPr>
        <w:ind w:firstLine="436"/>
        <w:spacing w:after="0" w:line="256" w:lineRule="auto"/>
        <w:tabs>
          <w:tab w:leader="none" w:pos="685"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Every Note that bears or is required under this Section 2.05(c) to bear the legend set forth in this Section 2.05(c) (together with any Common Stock issued upon conversion of the Notes that is required to bear the legend set forth in Section 2.05(d), collectively, the “</w:t>
      </w:r>
      <w:r>
        <w:rPr>
          <w:rFonts w:ascii="Times New Roman" w:cs="Times New Roman" w:eastAsia="Times New Roman" w:hAnsi="Times New Roman"/>
          <w:sz w:val="18"/>
          <w:szCs w:val="18"/>
          <w:b w:val="1"/>
          <w:bCs w:val="1"/>
          <w:color w:val="auto"/>
        </w:rPr>
        <w:t>Restricted Securities</w:t>
      </w:r>
      <w:r>
        <w:rPr>
          <w:rFonts w:ascii="Times New Roman" w:cs="Times New Roman" w:eastAsia="Times New Roman" w:hAnsi="Times New Roman"/>
          <w:sz w:val="18"/>
          <w:szCs w:val="18"/>
          <w:color w:val="auto"/>
        </w:rPr>
        <w:t>”) shall be subject to the restrictions on transfer set forth in this Section 2.05(c) (including the legend set forth below), unless such restrictions on transfer shall be eliminated or otherwise waived by written consent of the Company, and the Holder of each such Restricted Security, by such Holder’s acceptance thereof, agrees to be bound by all such restrictions on transfer. As used in this Section 2.05(c) and Section 2.05(d), the term “</w:t>
      </w:r>
      <w:r>
        <w:rPr>
          <w:rFonts w:ascii="Times New Roman" w:cs="Times New Roman" w:eastAsia="Times New Roman" w:hAnsi="Times New Roman"/>
          <w:sz w:val="18"/>
          <w:szCs w:val="18"/>
          <w:b w:val="1"/>
          <w:bCs w:val="1"/>
          <w:color w:val="auto"/>
        </w:rPr>
        <w:t>transfer</w:t>
      </w:r>
      <w:r>
        <w:rPr>
          <w:rFonts w:ascii="Times New Roman" w:cs="Times New Roman" w:eastAsia="Times New Roman" w:hAnsi="Times New Roman"/>
          <w:sz w:val="18"/>
          <w:szCs w:val="18"/>
          <w:color w:val="auto"/>
        </w:rPr>
        <w:t>” encompasses any sale, pledge, transfer or other disposition whatsoever of any Restricted Security.</w:t>
      </w:r>
    </w:p>
    <w:p>
      <w:pPr>
        <w:spacing w:after="0" w:line="183" w:lineRule="exact"/>
        <w:rPr>
          <w:sz w:val="20"/>
          <w:szCs w:val="20"/>
          <w:color w:val="auto"/>
        </w:rPr>
      </w:pPr>
    </w:p>
    <w:p>
      <w:pPr>
        <w:ind w:firstLine="440"/>
        <w:spacing w:after="0" w:line="255" w:lineRule="auto"/>
        <w:rPr>
          <w:sz w:val="20"/>
          <w:szCs w:val="20"/>
          <w:color w:val="auto"/>
        </w:rPr>
      </w:pPr>
      <w:r>
        <w:rPr>
          <w:rFonts w:ascii="Times New Roman" w:cs="Times New Roman" w:eastAsia="Times New Roman" w:hAnsi="Times New Roman"/>
          <w:sz w:val="18"/>
          <w:szCs w:val="18"/>
          <w:color w:val="auto"/>
        </w:rPr>
        <w:t>Until the date (the “</w:t>
      </w:r>
      <w:r>
        <w:rPr>
          <w:rFonts w:ascii="Times New Roman" w:cs="Times New Roman" w:eastAsia="Times New Roman" w:hAnsi="Times New Roman"/>
          <w:sz w:val="18"/>
          <w:szCs w:val="18"/>
          <w:b w:val="1"/>
          <w:bCs w:val="1"/>
          <w:color w:val="auto"/>
        </w:rPr>
        <w:t>Resale Restriction Termination Date</w:t>
      </w:r>
      <w:r>
        <w:rPr>
          <w:rFonts w:ascii="Times New Roman" w:cs="Times New Roman" w:eastAsia="Times New Roman" w:hAnsi="Times New Roman"/>
          <w:sz w:val="18"/>
          <w:szCs w:val="18"/>
          <w:color w:val="auto"/>
        </w:rPr>
        <w:t>”) that is the later of (1) the date that is one year after the last date of original issuance of the Notes, or such shorter period of time as permitted by Rule 144 or any successor provision thereto, and (2) such later date, if any, as may be required by applicable law, any certificate evidencing such Note (and all securities issued in exchange therefor or substitution thereof, other than Common Stock, if any, issued upon conversion thereof, which shall bear the legend set forth in Section 2.05(d), if applicable) shall bear a legend in substantially the following form (unless such Notes have been transferred pursuant to a registration statement that has become or been declared effective under the Securities Act and that continues to be effective at the time of such transfer, or sold pursuant to the exemption from registration provided by Rule 144 or any similar provision then in force under the Securities Act, or unless otherwise agreed by the Company in writing, with notice thereof to the Trustee):</w:t>
      </w:r>
    </w:p>
    <w:p>
      <w:pPr>
        <w:spacing w:after="0" w:line="121"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18</w:t>
      </w:r>
    </w:p>
    <w:p>
      <w:pPr>
        <w:sectPr>
          <w:pgSz w:w="11900" w:h="16838" w:orient="portrait"/>
          <w:cols w:equalWidth="0" w:num="1">
            <w:col w:w="10980"/>
          </w:cols>
          <w:pgMar w:left="440" w:top="270" w:right="479" w:bottom="1440" w:gutter="0" w:footer="0" w:header="0"/>
        </w:sectPr>
      </w:pPr>
    </w:p>
    <w:bookmarkStart w:id="29" w:name="page30"/>
    <w:bookmarkEnd w:id="29"/>
    <w:p>
      <w:pPr>
        <w:ind w:right="80" w:firstLine="44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THIS SECURITY AND THE COMMON STOCK, IF ANY, ISSUABLE UPON CONVERSION OF THIS SECURITY HAVE NOT BEEN REGISTERED UNDER THE SECURITIES ACT OF 1933, AS AMENDED (THE “</w:t>
      </w:r>
      <w:r>
        <w:rPr>
          <w:rFonts w:ascii="Times New Roman" w:cs="Times New Roman" w:eastAsia="Times New Roman" w:hAnsi="Times New Roman"/>
          <w:sz w:val="18"/>
          <w:szCs w:val="18"/>
          <w:b w:val="1"/>
          <w:bCs w:val="1"/>
          <w:color w:val="auto"/>
        </w:rPr>
        <w:t>SECURITIES ACT</w:t>
      </w:r>
      <w:r>
        <w:rPr>
          <w:rFonts w:ascii="Times New Roman" w:cs="Times New Roman" w:eastAsia="Times New Roman" w:hAnsi="Times New Roman"/>
          <w:sz w:val="18"/>
          <w:szCs w:val="18"/>
          <w:color w:val="auto"/>
        </w:rPr>
        <w:t>”), AND MAY NOT BE OFFERED, SOLD, PLEDGED OR OTHERWISE TRANSFERRED EXCEPT IN ACCORDANCE WITH THE FOLLOWING SENTENCE. BY ITS ACQUISITION HEREOF OR OF A BENEFICIAL INTEREST HEREIN, THE ACQUIRER:</w:t>
      </w:r>
    </w:p>
    <w:p>
      <w:pPr>
        <w:spacing w:after="0" w:line="72" w:lineRule="exact"/>
        <w:rPr>
          <w:sz w:val="20"/>
          <w:szCs w:val="20"/>
          <w:color w:val="auto"/>
        </w:rPr>
      </w:pPr>
    </w:p>
    <w:p>
      <w:pPr>
        <w:ind w:left="440" w:right="440" w:firstLine="419"/>
        <w:spacing w:after="0" w:line="266" w:lineRule="auto"/>
        <w:tabs>
          <w:tab w:leader="none" w:pos="1118"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REPRESENTS THAT IT AND ANY ACCOUNT FOR WHICH IT IS ACTING IS A “QUALIFIED INSTITUTIONAL BUYER” (WITHIN THE MEANING OF RULE 144A UNDER THE SECURITIES ACT) AND THAT IT EXERCISES SOLE INVESTMENT DISCRETION WITH RESPECT TO EACH SUCH ACCOUNT, AND</w:t>
      </w:r>
    </w:p>
    <w:p>
      <w:pPr>
        <w:spacing w:after="0" w:line="63" w:lineRule="exact"/>
        <w:rPr>
          <w:rFonts w:ascii="Times New Roman" w:cs="Times New Roman" w:eastAsia="Times New Roman" w:hAnsi="Times New Roman"/>
          <w:sz w:val="18"/>
          <w:szCs w:val="18"/>
          <w:color w:val="auto"/>
        </w:rPr>
      </w:pPr>
    </w:p>
    <w:p>
      <w:pPr>
        <w:jc w:val="both"/>
        <w:ind w:left="440" w:firstLine="419"/>
        <w:spacing w:after="0" w:line="259" w:lineRule="auto"/>
        <w:tabs>
          <w:tab w:leader="none" w:pos="1118"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AGREES FOR THE BENEFIT OF MICROSTRATEGY INCORPORATED (THE “</w:t>
      </w:r>
      <w:r>
        <w:rPr>
          <w:rFonts w:ascii="Times New Roman" w:cs="Times New Roman" w:eastAsia="Times New Roman" w:hAnsi="Times New Roman"/>
          <w:sz w:val="18"/>
          <w:szCs w:val="18"/>
          <w:b w:val="1"/>
          <w:bCs w:val="1"/>
          <w:color w:val="auto"/>
        </w:rPr>
        <w:t>COMPANY</w:t>
      </w:r>
      <w:r>
        <w:rPr>
          <w:rFonts w:ascii="Times New Roman" w:cs="Times New Roman" w:eastAsia="Times New Roman" w:hAnsi="Times New Roman"/>
          <w:sz w:val="18"/>
          <w:szCs w:val="18"/>
          <w:color w:val="auto"/>
        </w:rPr>
        <w:t>”) THAT IT WILL NOT OFFER, SELL, PLEDGE OR OTHERWISE TRANSFER THIS SECURITY OR ANY BENEFICIAL INTEREST HEREIN PRIOR TO THE DATE THAT IS THE LATER OF (X) ONE YEAR AFTER THE LAST ORIGINAL ISSUE DATE HEREOF OR SUCH SHORTER PERIOD OF TIME AS PERMITTED BY RULE 144 UNDER THE SECURITIES ACT OR ANY SUCCESSOR PROVISION THERETO AND (Y) SUCH LATER DATE, IF ANY, AS MAY BE REQUIRED BY APPLICABLE LAW, EXCEPT:</w:t>
      </w:r>
    </w:p>
    <w:p>
      <w:pPr>
        <w:spacing w:after="0" w:line="75" w:lineRule="exact"/>
        <w:rPr>
          <w:rFonts w:ascii="Times New Roman" w:cs="Times New Roman" w:eastAsia="Times New Roman" w:hAnsi="Times New Roman"/>
          <w:sz w:val="18"/>
          <w:szCs w:val="18"/>
          <w:color w:val="auto"/>
        </w:rPr>
      </w:pPr>
    </w:p>
    <w:p>
      <w:pPr>
        <w:ind w:left="1680" w:hanging="292"/>
        <w:spacing w:after="0"/>
        <w:tabs>
          <w:tab w:leader="none" w:pos="1680" w:val="left"/>
        </w:tabs>
        <w:numPr>
          <w:ilvl w:val="1"/>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THE COMPANY OR ANY SUBSIDIARY THEREOF, OR</w:t>
      </w:r>
    </w:p>
    <w:p>
      <w:pPr>
        <w:spacing w:after="0" w:line="117" w:lineRule="exact"/>
        <w:rPr>
          <w:rFonts w:ascii="Times New Roman" w:cs="Times New Roman" w:eastAsia="Times New Roman" w:hAnsi="Times New Roman"/>
          <w:sz w:val="18"/>
          <w:szCs w:val="18"/>
          <w:color w:val="auto"/>
        </w:rPr>
      </w:pPr>
    </w:p>
    <w:p>
      <w:pPr>
        <w:ind w:left="1680" w:hanging="292"/>
        <w:spacing w:after="0"/>
        <w:tabs>
          <w:tab w:leader="none" w:pos="1680" w:val="left"/>
        </w:tabs>
        <w:numPr>
          <w:ilvl w:val="1"/>
          <w:numId w:val="12"/>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PURSUANT TO A REGISTRATION STATEMENT WHICH HAS BECOME EFFECTIVE UNDER THE SECURITIES ACT,</w:t>
      </w:r>
    </w:p>
    <w:p>
      <w:pPr>
        <w:spacing w:after="0" w:line="38" w:lineRule="exact"/>
        <w:rPr>
          <w:rFonts w:ascii="Times New Roman" w:cs="Times New Roman" w:eastAsia="Times New Roman" w:hAnsi="Times New Roman"/>
          <w:sz w:val="17"/>
          <w:szCs w:val="17"/>
          <w:color w:val="auto"/>
        </w:rPr>
      </w:pPr>
    </w:p>
    <w:p>
      <w:pPr>
        <w:ind w:left="980"/>
        <w:spacing w:after="0"/>
        <w:rPr>
          <w:rFonts w:ascii="Times New Roman" w:cs="Times New Roman" w:eastAsia="Times New Roman" w:hAnsi="Times New Roman"/>
          <w:sz w:val="17"/>
          <w:szCs w:val="17"/>
          <w:color w:val="auto"/>
        </w:rPr>
      </w:pPr>
      <w:r>
        <w:rPr>
          <w:rFonts w:ascii="Times New Roman" w:cs="Times New Roman" w:eastAsia="Times New Roman" w:hAnsi="Times New Roman"/>
          <w:sz w:val="18"/>
          <w:szCs w:val="18"/>
          <w:color w:val="auto"/>
        </w:rPr>
        <w:t>OR</w:t>
      </w:r>
    </w:p>
    <w:p>
      <w:pPr>
        <w:spacing w:after="0" w:line="98" w:lineRule="exact"/>
        <w:rPr>
          <w:rFonts w:ascii="Times New Roman" w:cs="Times New Roman" w:eastAsia="Times New Roman" w:hAnsi="Times New Roman"/>
          <w:sz w:val="17"/>
          <w:szCs w:val="17"/>
          <w:color w:val="auto"/>
        </w:rPr>
      </w:pPr>
    </w:p>
    <w:p>
      <w:pPr>
        <w:ind w:left="980" w:right="220" w:firstLine="408"/>
        <w:spacing w:after="0" w:line="282" w:lineRule="auto"/>
        <w:tabs>
          <w:tab w:leader="none" w:pos="1666" w:val="left"/>
        </w:tabs>
        <w:numPr>
          <w:ilvl w:val="1"/>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A PERSON REASONABLY BELIEVED TO BE A QUALIFIED INSTITUTIONAL BUYER IN COMPLIANCE WITH RULE 144A UNDER THE SECURITIES ACT, OR</w:t>
      </w:r>
    </w:p>
    <w:p>
      <w:pPr>
        <w:spacing w:after="0" w:line="53" w:lineRule="exact"/>
        <w:rPr>
          <w:rFonts w:ascii="Times New Roman" w:cs="Times New Roman" w:eastAsia="Times New Roman" w:hAnsi="Times New Roman"/>
          <w:sz w:val="18"/>
          <w:szCs w:val="18"/>
          <w:color w:val="auto"/>
        </w:rPr>
      </w:pPr>
    </w:p>
    <w:p>
      <w:pPr>
        <w:ind w:left="980" w:right="160" w:firstLine="408"/>
        <w:spacing w:after="0" w:line="282" w:lineRule="auto"/>
        <w:tabs>
          <w:tab w:leader="none" w:pos="1676" w:val="left"/>
        </w:tabs>
        <w:numPr>
          <w:ilvl w:val="1"/>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PURSUANT TO AN EXEMPTION FROM REGISTRATION PROVIDED BY RULE 144 UNDER THE SECURITIES ACT OR ANY OTHER AVAILABLE EXEMPTION FROM THE REGISTRATION REQUIREMENTS OF THE SECURITIES ACT.</w:t>
      </w:r>
    </w:p>
    <w:p>
      <w:pPr>
        <w:spacing w:after="0" w:line="162" w:lineRule="exact"/>
        <w:rPr>
          <w:sz w:val="20"/>
          <w:szCs w:val="20"/>
          <w:color w:val="auto"/>
        </w:rPr>
      </w:pPr>
    </w:p>
    <w:p>
      <w:pPr>
        <w:ind w:firstLine="440"/>
        <w:spacing w:after="0" w:line="258" w:lineRule="auto"/>
        <w:rPr>
          <w:sz w:val="20"/>
          <w:szCs w:val="20"/>
          <w:color w:val="auto"/>
        </w:rPr>
      </w:pPr>
      <w:r>
        <w:rPr>
          <w:rFonts w:ascii="Times New Roman" w:cs="Times New Roman" w:eastAsia="Times New Roman" w:hAnsi="Times New Roman"/>
          <w:sz w:val="18"/>
          <w:szCs w:val="18"/>
          <w:color w:val="auto"/>
        </w:rPr>
        <w:t>PRIOR TO THE REGISTRATION OF ANY TRANSFER IN ACCORDANCE WITH CLAUSE (2)(D) ABOVE, THE COMPANY AND THE TRUSTEE RESERVE THE RIGHT TO REQUIRE THE DELIVERY OF SUCH LEGAL OPINIONS, CERTIFICATIONS OR OTHER EVIDENCE AS MAY REASONABLY BE REQUIRED IN ORDER TO DETERMINE THAT THE PROPOSED TRANSFER IS BEING MADE IN COMPLIANCE WITH THE SECURITIES ACT AND APPLICABLE STATE SECURITIES LAWS. NO REPRESENTATION IS MADE AS TO THE AVAILABILITY OF ANY EXEMPTION FROM THE REGISTRATION REQUIREMENTS OF THE SECURITIES ACT.</w:t>
      </w:r>
    </w:p>
    <w:p>
      <w:pPr>
        <w:spacing w:after="0" w:line="116"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19</w:t>
      </w:r>
    </w:p>
    <w:p>
      <w:pPr>
        <w:sectPr>
          <w:pgSz w:w="11900" w:h="16838" w:orient="portrait"/>
          <w:cols w:equalWidth="0" w:num="1">
            <w:col w:w="10960"/>
          </w:cols>
          <w:pgMar w:left="440" w:top="270" w:right="499" w:bottom="1440" w:gutter="0" w:footer="0" w:header="0"/>
        </w:sectPr>
      </w:pPr>
    </w:p>
    <w:bookmarkStart w:id="30" w:name="page31"/>
    <w:bookmarkEnd w:id="30"/>
    <w:p>
      <w:pPr>
        <w:ind w:right="120" w:firstLine="440"/>
        <w:spacing w:after="0" w:line="28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9">
                      <a:extLst>
                        <a:ext uri="{28A0092B-C50C-407E-A947-70E740481C1C}"/>
                      </a:extLst>
                    </a:blip>
                    <a:srcRect/>
                    <a:stretch>
                      <a:fillRect/>
                    </a:stretch>
                  </pic:blipFill>
                  <pic:spPr bwMode="auto">
                    <a:xfrm>
                      <a:off x="0" y="0"/>
                      <a:ext cx="7174865" cy="38100"/>
                    </a:xfrm>
                    <a:prstGeom prst="rect">
                      <a:avLst/>
                    </a:prstGeom>
                    <a:noFill/>
                  </pic:spPr>
                </pic:pic>
              </a:graphicData>
            </a:graphic>
          </wp:anchor>
        </w:drawing>
        <w:t>No transfer of any Note prior to the Resale Restriction Termination Date will be registered by the Note Registrar unless the applicable box on the Form of Assignment and Transfer has been checked.</w:t>
      </w:r>
    </w:p>
    <w:p>
      <w:pPr>
        <w:spacing w:after="0" w:line="162" w:lineRule="exact"/>
        <w:rPr>
          <w:sz w:val="20"/>
          <w:szCs w:val="20"/>
          <w:color w:val="auto"/>
        </w:rPr>
      </w:pPr>
    </w:p>
    <w:p>
      <w:pPr>
        <w:ind w:right="40" w:firstLine="440"/>
        <w:spacing w:after="0" w:line="253" w:lineRule="auto"/>
        <w:rPr>
          <w:sz w:val="20"/>
          <w:szCs w:val="20"/>
          <w:color w:val="auto"/>
        </w:rPr>
      </w:pPr>
      <w:r>
        <w:rPr>
          <w:rFonts w:ascii="Times New Roman" w:cs="Times New Roman" w:eastAsia="Times New Roman" w:hAnsi="Times New Roman"/>
          <w:sz w:val="18"/>
          <w:szCs w:val="18"/>
          <w:color w:val="auto"/>
        </w:rPr>
        <w:t>Any Note (or security issued in exchange or substitution therefor) (i) as to which such restrictions on transfer shall have expired in accordance with their terms, (ii) that has been transferred pursuant to a registration statement that has become effective or been declared effective under the Securities Act and that continues to be effective at the time of such transfer or (iii) that has been sold pursuant to the exemption from registration provided by Rule 144 or any similar provision then in force under the Securities Act, may, upon surrender of such Note for exchange to the Note Registrar in accordance with the provisions of this Section 2.05, be exchanged for a new Note or Notes, of like tenor and aggregate principal amount, which shall not bear the restrictive legend required by this Section 2.05(c) and shall not be assigned a restricted CUSIP number. The Company shall be entitled to instruct the Custodian in writing to so surrender any Global Note as to which any of the conditions set forth in clause (i) through (iii) of the immediately preceding sentence have been satisfied, and, upon such instruction, the Custodian shall so surrender such Global Note for exchange; and any new Global Note so exchanged therefor shall not bear the restrictive legend specified in this Section 2.05(c) and shall not be assigned a restricted CUSIP number. The Company shall promptly notify the Trustee upon the occurrence of the Resale Restriction Termination Date and promptly after a registration statement, if any, with respect to the Notes or any Common Stock issued upon conversion of the Notes has been declared effective under the Securities Act.</w:t>
      </w:r>
    </w:p>
    <w:p>
      <w:pPr>
        <w:spacing w:after="0" w:line="190" w:lineRule="exact"/>
        <w:rPr>
          <w:sz w:val="20"/>
          <w:szCs w:val="20"/>
          <w:color w:val="auto"/>
        </w:rPr>
      </w:pPr>
    </w:p>
    <w:p>
      <w:pPr>
        <w:ind w:right="20" w:firstLine="440"/>
        <w:spacing w:after="0" w:line="281" w:lineRule="auto"/>
        <w:rPr>
          <w:sz w:val="20"/>
          <w:szCs w:val="20"/>
          <w:color w:val="auto"/>
        </w:rPr>
      </w:pPr>
      <w:r>
        <w:rPr>
          <w:rFonts w:ascii="Times New Roman" w:cs="Times New Roman" w:eastAsia="Times New Roman" w:hAnsi="Times New Roman"/>
          <w:sz w:val="17"/>
          <w:szCs w:val="17"/>
          <w:color w:val="auto"/>
        </w:rPr>
        <w:t>Notwithstanding any other provisions of this Indenture (other than the provisions set forth in this Section 2.05(c)), a Global Note may not be transferred as a whole or in part except (i) by the Depositary to a nominee of the Depositary or by a nominee of the Depositary to the Depositary or another nominee of the Depositary or by the Depositary or any such nominee to a successor Depositary or a nominee of such successor Depositary and (ii) for exchange of a Global Note or a portion thereof for one or more Physical Notes in accordance with the second immediately succeeding paragraph.</w:t>
      </w:r>
    </w:p>
    <w:p>
      <w:pPr>
        <w:spacing w:after="0" w:line="164" w:lineRule="exact"/>
        <w:rPr>
          <w:sz w:val="20"/>
          <w:szCs w:val="20"/>
          <w:color w:val="auto"/>
        </w:rPr>
      </w:pPr>
    </w:p>
    <w:p>
      <w:pPr>
        <w:jc w:val="both"/>
        <w:ind w:right="120" w:firstLine="440"/>
        <w:spacing w:after="0" w:line="266" w:lineRule="auto"/>
        <w:rPr>
          <w:sz w:val="20"/>
          <w:szCs w:val="20"/>
          <w:color w:val="auto"/>
        </w:rPr>
      </w:pPr>
      <w:r>
        <w:rPr>
          <w:rFonts w:ascii="Times New Roman" w:cs="Times New Roman" w:eastAsia="Times New Roman" w:hAnsi="Times New Roman"/>
          <w:sz w:val="18"/>
          <w:szCs w:val="18"/>
          <w:color w:val="auto"/>
        </w:rPr>
        <w:t>The Depositary shall be a clearing agency registered under the Exchange Act. The Company initially appoints The Depository Trust Company to act as Depositary with respect to each Global Note. Initially, each Global Note shall be issued to the Depositary, registered in the name of Cede &amp; Co., as the nominee of the Depositary, and deposited with the Trustee as custodian for Cede &amp; Co.</w:t>
      </w:r>
    </w:p>
    <w:p>
      <w:pPr>
        <w:spacing w:after="0" w:line="176" w:lineRule="exact"/>
        <w:rPr>
          <w:sz w:val="20"/>
          <w:szCs w:val="20"/>
          <w:color w:val="auto"/>
        </w:rPr>
      </w:pPr>
    </w:p>
    <w:p>
      <w:pPr>
        <w:ind w:firstLine="440"/>
        <w:spacing w:after="0" w:line="256" w:lineRule="auto"/>
        <w:rPr>
          <w:sz w:val="20"/>
          <w:szCs w:val="20"/>
          <w:color w:val="auto"/>
        </w:rPr>
      </w:pPr>
      <w:r>
        <w:rPr>
          <w:rFonts w:ascii="Times New Roman" w:cs="Times New Roman" w:eastAsia="Times New Roman" w:hAnsi="Times New Roman"/>
          <w:sz w:val="18"/>
          <w:szCs w:val="18"/>
          <w:color w:val="auto"/>
        </w:rPr>
        <w:t>If (i) the Depositary notifies the Company at any time that the Depositary is unwilling or unable to continue as depositary for the Global Notes and a successor depositary is not appointed within 90 days, (ii) the Depositary ceases to be registered as a clearing agency under the Exchange Act and a successor depositary is not appointed within 90 days or (iii) an Event of Default with respect to the Notes has occurred and is continuing and a beneficial owner of any Note requests that its beneficial interest therein be issued as a Physical Note, the Company shall execute, and the Trustee, upon receipt of an Officer’s Certificate and a Company Order for the authentication and delivery of Notes, shall authenticate and deliver (x) in the case of clause (iii), a Physical Note to such beneficial owner in a principal amount equal to the principal amount of</w:t>
      </w:r>
    </w:p>
    <w:p>
      <w:pPr>
        <w:spacing w:after="0" w:line="12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20</w:t>
      </w:r>
    </w:p>
    <w:p>
      <w:pPr>
        <w:sectPr>
          <w:pgSz w:w="11900" w:h="16838" w:orient="portrait"/>
          <w:cols w:equalWidth="0" w:num="1">
            <w:col w:w="11000"/>
          </w:cols>
          <w:pgMar w:left="440" w:top="270" w:right="459" w:bottom="1440" w:gutter="0" w:footer="0" w:header="0"/>
        </w:sectPr>
      </w:pPr>
    </w:p>
    <w:bookmarkStart w:id="31" w:name="page32"/>
    <w:bookmarkEnd w:id="31"/>
    <w:p>
      <w:pPr>
        <w:ind w:right="40"/>
        <w:spacing w:after="0" w:line="26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0">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such Note corresponding to such beneficial owner’s beneficial interest and (y) in the case of clause (i) or (ii), Physical Notes to each beneficial owner of the related Global Notes (or a portion thereof) in an aggregate principal amount equal to the aggregate principal amount of such Global Notes in exchange for such Global Notes, and upon delivery of the Global Notes to the Trustee such Global Notes shall be canceled.</w:t>
      </w:r>
    </w:p>
    <w:p>
      <w:pPr>
        <w:spacing w:after="0" w:line="176" w:lineRule="exact"/>
        <w:rPr>
          <w:sz w:val="20"/>
          <w:szCs w:val="20"/>
          <w:color w:val="auto"/>
        </w:rPr>
      </w:pPr>
    </w:p>
    <w:p>
      <w:pPr>
        <w:ind w:firstLine="440"/>
        <w:spacing w:after="0" w:line="261" w:lineRule="auto"/>
        <w:rPr>
          <w:sz w:val="20"/>
          <w:szCs w:val="20"/>
          <w:color w:val="auto"/>
        </w:rPr>
      </w:pPr>
      <w:r>
        <w:rPr>
          <w:rFonts w:ascii="Times New Roman" w:cs="Times New Roman" w:eastAsia="Times New Roman" w:hAnsi="Times New Roman"/>
          <w:sz w:val="18"/>
          <w:szCs w:val="18"/>
          <w:color w:val="auto"/>
        </w:rPr>
        <w:t>Physical Notes issued in exchange for all or a part of the Global Note pursuant to this Section 2.05(c) shall be registered in such names and in such authorized denominations as the Depositary, pursuant to instructions from its direct or indirect participants or otherwise, or, in the case of clause (iii) of the immediately preceding paragraph, the relevant beneficial owner, shall instruct the Trustee in writing. Upon execution and authentication, the Trustee shall deliver such Physical Notes to the Persons in whose names such Physical Notes are so registered.</w:t>
      </w:r>
    </w:p>
    <w:p>
      <w:pPr>
        <w:spacing w:after="0" w:line="180" w:lineRule="exact"/>
        <w:rPr>
          <w:sz w:val="20"/>
          <w:szCs w:val="20"/>
          <w:color w:val="auto"/>
        </w:rPr>
      </w:pPr>
    </w:p>
    <w:p>
      <w:pPr>
        <w:ind w:right="120" w:firstLine="440"/>
        <w:spacing w:after="0" w:line="255" w:lineRule="auto"/>
        <w:rPr>
          <w:sz w:val="20"/>
          <w:szCs w:val="20"/>
          <w:color w:val="auto"/>
        </w:rPr>
      </w:pPr>
      <w:r>
        <w:rPr>
          <w:rFonts w:ascii="Times New Roman" w:cs="Times New Roman" w:eastAsia="Times New Roman" w:hAnsi="Times New Roman"/>
          <w:sz w:val="18"/>
          <w:szCs w:val="18"/>
          <w:color w:val="auto"/>
        </w:rPr>
        <w:t>At such time as all interests in a Global Note have been converted, canceled, repurchased, redeemed or transferred, such Global Note shall be, upon receipt thereof, canceled by the Trustee in accordance with standing procedures and existing instructions between the Depositary and the Custodian. At any time prior to such cancellation, if any interest in a Global Note is exchanged for Physical Notes, converted, canceled, repurchased, redeemed or transferred to a transferee who receives Physical Notes therefor or any Physical Note is exchanged or transferred for part of such Global Note, the principal amount of such Global Note shall, in accordance with the standing procedures and instructions existing between the Depositary and the Custodian, be appropriately reduced or increased, as the case may be, and an endorsement shall be made on such Global Note, by the Trustee or the Custodian, at the direction of the Trustee, to reflect such reduction or increase.</w:t>
      </w:r>
    </w:p>
    <w:p>
      <w:pPr>
        <w:spacing w:after="0" w:line="189" w:lineRule="exact"/>
        <w:rPr>
          <w:sz w:val="20"/>
          <w:szCs w:val="20"/>
          <w:color w:val="auto"/>
        </w:rPr>
      </w:pPr>
    </w:p>
    <w:p>
      <w:pPr>
        <w:jc w:val="both"/>
        <w:ind w:right="80" w:firstLine="440"/>
        <w:spacing w:after="0" w:line="289" w:lineRule="auto"/>
        <w:rPr>
          <w:sz w:val="20"/>
          <w:szCs w:val="20"/>
          <w:color w:val="auto"/>
        </w:rPr>
      </w:pPr>
      <w:r>
        <w:rPr>
          <w:rFonts w:ascii="Times New Roman" w:cs="Times New Roman" w:eastAsia="Times New Roman" w:hAnsi="Times New Roman"/>
          <w:sz w:val="17"/>
          <w:szCs w:val="17"/>
          <w:color w:val="auto"/>
        </w:rPr>
        <w:t>None of the Company, the Trustee or any agent of the Company or the Trustee shall have any responsibility or liability to any beneficial owner of a Global Note, a member of, or a participant in, the Depositary or other Person for any aspect of the records relating to or payments made on account of beneficial ownership interests of a Global Note or maintaining, supervising or reviewing any records relating to such beneficial ownership interests.</w:t>
      </w:r>
    </w:p>
    <w:p>
      <w:pPr>
        <w:spacing w:after="0" w:line="158" w:lineRule="exact"/>
        <w:rPr>
          <w:sz w:val="20"/>
          <w:szCs w:val="20"/>
          <w:color w:val="auto"/>
        </w:rPr>
      </w:pPr>
    </w:p>
    <w:p>
      <w:pPr>
        <w:ind w:right="20" w:firstLine="440"/>
        <w:spacing w:after="0" w:line="258" w:lineRule="auto"/>
        <w:rPr>
          <w:sz w:val="20"/>
          <w:szCs w:val="20"/>
          <w:color w:val="auto"/>
        </w:rPr>
      </w:pPr>
      <w:r>
        <w:rPr>
          <w:rFonts w:ascii="Times New Roman" w:cs="Times New Roman" w:eastAsia="Times New Roman" w:hAnsi="Times New Roman"/>
          <w:sz w:val="18"/>
          <w:szCs w:val="18"/>
          <w:color w:val="auto"/>
        </w:rPr>
        <w:t>The Trustee shall have no obligation or duty to monitor, determine or inquire as to compliance with any restrictions on transfer imposed under this Indenture or under applicable law with respect to any transfer of any interest in any Notes (including any transfers between or among the Depositary participants, members or beneficial owners in any Global Notes) other than to require delivery of such certificates and other documentation or evidence as are expressly required by, and to do so if and when expressly required by, the terms of this Indenture, and to examine the same to determine substantial compliance as to form with the express requirements hereof.</w:t>
      </w:r>
    </w:p>
    <w:p>
      <w:pPr>
        <w:spacing w:after="0" w:line="183" w:lineRule="exact"/>
        <w:rPr>
          <w:sz w:val="20"/>
          <w:szCs w:val="20"/>
          <w:color w:val="auto"/>
        </w:rPr>
      </w:pPr>
    </w:p>
    <w:p>
      <w:pPr>
        <w:ind w:right="100" w:firstLine="440"/>
        <w:spacing w:after="0" w:line="266" w:lineRule="auto"/>
        <w:rPr>
          <w:sz w:val="20"/>
          <w:szCs w:val="20"/>
          <w:color w:val="auto"/>
        </w:rPr>
      </w:pPr>
      <w:r>
        <w:rPr>
          <w:rFonts w:ascii="Times New Roman" w:cs="Times New Roman" w:eastAsia="Times New Roman" w:hAnsi="Times New Roman"/>
          <w:sz w:val="18"/>
          <w:szCs w:val="18"/>
          <w:color w:val="auto"/>
        </w:rPr>
        <w:t>Neither the Company nor the Trustee nor any of their respective agents shall have any responsibility or liability for any act or omission of the Depositary. All notices and communications to be given to the Holders and all payments to be made to Holders in respect of the Notes shall be given or made only to, or upon the order of, the registered Holder(s) (which shall be the Depositary or its nominee in the case of a Global Note).</w:t>
      </w:r>
    </w:p>
    <w:p>
      <w:pPr>
        <w:spacing w:after="0" w:line="1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21</w:t>
      </w:r>
    </w:p>
    <w:p>
      <w:pPr>
        <w:sectPr>
          <w:pgSz w:w="11900" w:h="16838" w:orient="portrait"/>
          <w:cols w:equalWidth="0" w:num="1">
            <w:col w:w="11000"/>
          </w:cols>
          <w:pgMar w:left="440" w:top="270" w:right="459" w:bottom="1440" w:gutter="0" w:footer="0" w:header="0"/>
        </w:sectPr>
      </w:pPr>
    </w:p>
    <w:bookmarkStart w:id="32" w:name="page33"/>
    <w:bookmarkEnd w:id="32"/>
    <w:p>
      <w:pPr>
        <w:jc w:val="both"/>
        <w:ind w:right="420" w:firstLine="440"/>
        <w:spacing w:after="0" w:line="26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The rights of beneficial owners in any Global Note shall be exercised only through the Depositary subject to the applicable procedures of the Depositary. The Trustee may rely and shall be fully protected in relying upon information furnished by the Depositary with respect to its members, participants and any beneficial owners.</w:t>
      </w:r>
    </w:p>
    <w:p>
      <w:pPr>
        <w:spacing w:after="0" w:line="176" w:lineRule="exact"/>
        <w:rPr>
          <w:sz w:val="20"/>
          <w:szCs w:val="20"/>
          <w:color w:val="auto"/>
        </w:rPr>
      </w:pPr>
    </w:p>
    <w:p>
      <w:pPr>
        <w:ind w:right="40" w:firstLine="436"/>
        <w:spacing w:after="0" w:line="273" w:lineRule="auto"/>
        <w:tabs>
          <w:tab w:leader="none" w:pos="695" w:val="left"/>
        </w:tabs>
        <w:numPr>
          <w:ilvl w:val="0"/>
          <w:numId w:val="13"/>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Until the Resale Restriction Termination Date, any stock certificate representing Common Stock issued upon conversion of a Note shall bear a legend in substantially the following form (unless such Common Stock has been transferred pursuant to a registration statement that has become or been declared effective under the Securities Act and that continues to be effective at the time of such transfer, or pursuant to the exemption from registration provided by Rule 144 or any similar provision then in force under the Securities Act, or such Common Stock has been issued upon conversion of a Note that has transferred pursuant to a registration statement that has become or been declared effective under the Securities Act and that continues to be effective at the time of such transfer, or pursuant to the exemption from registration provided by Rule 144 or any similar provision then in force under the Securities Act, or unless otherwise agreed by the Company with written notice thereof to the Trustee and any transfer agent for the Common Stock):</w:t>
      </w:r>
    </w:p>
    <w:p>
      <w:pPr>
        <w:spacing w:after="0" w:line="167" w:lineRule="exact"/>
        <w:rPr>
          <w:sz w:val="20"/>
          <w:szCs w:val="20"/>
          <w:color w:val="auto"/>
        </w:rPr>
      </w:pPr>
    </w:p>
    <w:p>
      <w:pPr>
        <w:ind w:firstLine="440"/>
        <w:spacing w:after="0" w:line="268" w:lineRule="auto"/>
        <w:rPr>
          <w:sz w:val="20"/>
          <w:szCs w:val="20"/>
          <w:color w:val="auto"/>
        </w:rPr>
      </w:pPr>
      <w:r>
        <w:rPr>
          <w:rFonts w:ascii="Times New Roman" w:cs="Times New Roman" w:eastAsia="Times New Roman" w:hAnsi="Times New Roman"/>
          <w:sz w:val="18"/>
          <w:szCs w:val="18"/>
          <w:color w:val="auto"/>
        </w:rPr>
        <w:t>THIS SECURITY HAS NOT BEEN REGISTERED UNDER THE SECURITIES ACT OF 1933, AS AMENDED (THE “</w:t>
      </w:r>
      <w:r>
        <w:rPr>
          <w:rFonts w:ascii="Times New Roman" w:cs="Times New Roman" w:eastAsia="Times New Roman" w:hAnsi="Times New Roman"/>
          <w:sz w:val="18"/>
          <w:szCs w:val="18"/>
          <w:b w:val="1"/>
          <w:bCs w:val="1"/>
          <w:color w:val="auto"/>
        </w:rPr>
        <w:t>SECURITIES ACT</w:t>
      </w:r>
      <w:r>
        <w:rPr>
          <w:rFonts w:ascii="Times New Roman" w:cs="Times New Roman" w:eastAsia="Times New Roman" w:hAnsi="Times New Roman"/>
          <w:sz w:val="18"/>
          <w:szCs w:val="18"/>
          <w:color w:val="auto"/>
        </w:rPr>
        <w:t>”), AND MAY NOT BE OFFERED, SOLD, PLEDGED OR OTHERWISE TRANSFERRED EXCEPT IN ACCORDANCE WITH THE FOLLOWING SENTENCE. BY ITS ACQUISITION HEREOF OR OF A BENEFICIAL INTEREST HEREIN, THE ACQUIRER:</w:t>
      </w:r>
    </w:p>
    <w:p>
      <w:pPr>
        <w:spacing w:after="0" w:line="67" w:lineRule="exact"/>
        <w:rPr>
          <w:sz w:val="20"/>
          <w:szCs w:val="20"/>
          <w:color w:val="auto"/>
        </w:rPr>
      </w:pPr>
    </w:p>
    <w:p>
      <w:pPr>
        <w:ind w:left="440" w:right="460" w:firstLine="419"/>
        <w:spacing w:after="0" w:line="266" w:lineRule="auto"/>
        <w:tabs>
          <w:tab w:leader="none" w:pos="1118" w:val="left"/>
        </w:tabs>
        <w:numPr>
          <w:ilvl w:val="0"/>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REPRESENTS THAT IT AND ANY ACCOUNT FOR WHICH IT IS ACTING IS A “QUALIFIED INSTITUTIONAL BUYER” (WITHIN THE MEANING OF RULE 144A UNDER THE SECURITIES ACT) AND THAT IT EXERCISES SOLE INVESTMENT DISCRETION WITH RESPECT TO EACH SUCH ACCOUNT, AND</w:t>
      </w:r>
    </w:p>
    <w:p>
      <w:pPr>
        <w:spacing w:after="0" w:line="63" w:lineRule="exact"/>
        <w:rPr>
          <w:rFonts w:ascii="Times New Roman" w:cs="Times New Roman" w:eastAsia="Times New Roman" w:hAnsi="Times New Roman"/>
          <w:sz w:val="18"/>
          <w:szCs w:val="18"/>
          <w:color w:val="auto"/>
        </w:rPr>
      </w:pPr>
    </w:p>
    <w:p>
      <w:pPr>
        <w:ind w:left="440" w:right="340" w:firstLine="419"/>
        <w:spacing w:after="0" w:line="257" w:lineRule="auto"/>
        <w:tabs>
          <w:tab w:leader="none" w:pos="1118" w:val="left"/>
        </w:tabs>
        <w:numPr>
          <w:ilvl w:val="0"/>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AGREES FOR THE BENEFIT OF MICROSTRATEGY INCORPORATED (THE “</w:t>
      </w:r>
      <w:r>
        <w:rPr>
          <w:rFonts w:ascii="Times New Roman" w:cs="Times New Roman" w:eastAsia="Times New Roman" w:hAnsi="Times New Roman"/>
          <w:sz w:val="18"/>
          <w:szCs w:val="18"/>
          <w:b w:val="1"/>
          <w:bCs w:val="1"/>
          <w:color w:val="auto"/>
        </w:rPr>
        <w:t>COMPANY</w:t>
      </w:r>
      <w:r>
        <w:rPr>
          <w:rFonts w:ascii="Times New Roman" w:cs="Times New Roman" w:eastAsia="Times New Roman" w:hAnsi="Times New Roman"/>
          <w:sz w:val="18"/>
          <w:szCs w:val="18"/>
          <w:color w:val="auto"/>
        </w:rPr>
        <w:t>”) THAT IT WILL NOT OFFER, SELL, PLEDGE OR OTHERWISE TRANSFER THIS SECURITY OR ANY BENEFICIAL INTEREST HEREIN PRIOR TO THE DATE THAT IS THE LATER OF (X) ONE YEAR AFTER THE LAST ORIGINAL ISSUE DATE OF THE SERIES OF NOTES UPON THE CONVERSION OF WHICH THIS SECURITY WAS ISSUED OR SUCH SHORTER PERIOD OF TIME AS PERMITTED BY RULE 144 UNDER THE SECURITIES ACT OR ANY SUCCESSOR PROVISION THERETO AND (Y) SUCH LATER DATE, IF ANY, AS MAY BE REQUIRED BY APPLICABLE LAW, EXCEPT:</w:t>
      </w:r>
    </w:p>
    <w:p>
      <w:pPr>
        <w:spacing w:after="0" w:line="78" w:lineRule="exact"/>
        <w:rPr>
          <w:rFonts w:ascii="Times New Roman" w:cs="Times New Roman" w:eastAsia="Times New Roman" w:hAnsi="Times New Roman"/>
          <w:sz w:val="18"/>
          <w:szCs w:val="18"/>
          <w:color w:val="auto"/>
        </w:rPr>
      </w:pPr>
    </w:p>
    <w:p>
      <w:pPr>
        <w:ind w:left="1680" w:hanging="292"/>
        <w:spacing w:after="0"/>
        <w:tabs>
          <w:tab w:leader="none" w:pos="1680" w:val="left"/>
        </w:tabs>
        <w:numPr>
          <w:ilvl w:val="1"/>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THE COMPANY OR ANY SUBSIDIARY THEREOF, OR</w:t>
      </w:r>
    </w:p>
    <w:p>
      <w:pPr>
        <w:spacing w:after="0" w:line="117" w:lineRule="exact"/>
        <w:rPr>
          <w:rFonts w:ascii="Times New Roman" w:cs="Times New Roman" w:eastAsia="Times New Roman" w:hAnsi="Times New Roman"/>
          <w:sz w:val="18"/>
          <w:szCs w:val="18"/>
          <w:color w:val="auto"/>
        </w:rPr>
      </w:pPr>
    </w:p>
    <w:p>
      <w:pPr>
        <w:ind w:left="1680" w:hanging="292"/>
        <w:spacing w:after="0"/>
        <w:tabs>
          <w:tab w:leader="none" w:pos="1680" w:val="left"/>
        </w:tabs>
        <w:numPr>
          <w:ilvl w:val="1"/>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PURSUANT TO A REGISTRATION STATEMENT WHICH HAS BECOME EFFECTIVE UNDER THE SECURITIES ACT,</w:t>
      </w:r>
    </w:p>
    <w:p>
      <w:pPr>
        <w:spacing w:after="0" w:line="27" w:lineRule="exact"/>
        <w:rPr>
          <w:rFonts w:ascii="Times New Roman" w:cs="Times New Roman" w:eastAsia="Times New Roman" w:hAnsi="Times New Roman"/>
          <w:sz w:val="18"/>
          <w:szCs w:val="18"/>
          <w:color w:val="auto"/>
        </w:rPr>
      </w:pPr>
    </w:p>
    <w:p>
      <w:pPr>
        <w:ind w:left="980"/>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OR</w:t>
      </w:r>
    </w:p>
    <w:p>
      <w:pPr>
        <w:spacing w:after="0" w:line="139"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22</w:t>
      </w:r>
    </w:p>
    <w:p>
      <w:pPr>
        <w:sectPr>
          <w:pgSz w:w="11900" w:h="16838" w:orient="portrait"/>
          <w:cols w:equalWidth="0" w:num="1">
            <w:col w:w="11000"/>
          </w:cols>
          <w:pgMar w:left="440" w:top="270" w:right="459" w:bottom="1440" w:gutter="0" w:footer="0" w:header="0"/>
        </w:sectPr>
      </w:pPr>
    </w:p>
    <w:bookmarkStart w:id="33" w:name="page34"/>
    <w:bookmarkEnd w:id="33"/>
    <w:p>
      <w:pPr>
        <w:ind w:left="980" w:right="260" w:firstLine="408"/>
        <w:spacing w:after="0" w:line="282" w:lineRule="auto"/>
        <w:tabs>
          <w:tab w:leader="none" w:pos="1666"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TO A PERSON REASONABLY BELIEVED TO BE A QUALIFIED INSTITUTIONAL BUYER IN COMPLIANCE WITH RULE 144A UNDER THE SECURITIES ACT, OR</w:t>
      </w:r>
    </w:p>
    <w:p>
      <w:pPr>
        <w:spacing w:after="0" w:line="53" w:lineRule="exact"/>
        <w:rPr>
          <w:rFonts w:ascii="Times New Roman" w:cs="Times New Roman" w:eastAsia="Times New Roman" w:hAnsi="Times New Roman"/>
          <w:sz w:val="18"/>
          <w:szCs w:val="18"/>
          <w:color w:val="auto"/>
        </w:rPr>
      </w:pPr>
    </w:p>
    <w:p>
      <w:pPr>
        <w:ind w:left="980" w:right="200" w:firstLine="408"/>
        <w:spacing w:after="0" w:line="282" w:lineRule="auto"/>
        <w:tabs>
          <w:tab w:leader="none" w:pos="1676"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PURSUANT TO AN EXEMPTION FROM REGISTRATION PROVIDED BY RULE 144 UNDER THE SECURITIES ACT OR ANY OTHER AVAILABLE EXEMPTION FROM THE REGISTRATION REQUIREMENTS OF THE SECURITIES ACT.</w:t>
      </w:r>
    </w:p>
    <w:p>
      <w:pPr>
        <w:spacing w:after="0" w:line="162" w:lineRule="exact"/>
        <w:rPr>
          <w:sz w:val="20"/>
          <w:szCs w:val="20"/>
          <w:color w:val="auto"/>
        </w:rPr>
      </w:pPr>
    </w:p>
    <w:p>
      <w:pPr>
        <w:ind w:right="120" w:firstLine="440"/>
        <w:spacing w:after="0" w:line="256" w:lineRule="auto"/>
        <w:rPr>
          <w:sz w:val="20"/>
          <w:szCs w:val="20"/>
          <w:color w:val="auto"/>
        </w:rPr>
      </w:pPr>
      <w:r>
        <w:rPr>
          <w:rFonts w:ascii="Times New Roman" w:cs="Times New Roman" w:eastAsia="Times New Roman" w:hAnsi="Times New Roman"/>
          <w:sz w:val="18"/>
          <w:szCs w:val="18"/>
          <w:color w:val="auto"/>
        </w:rPr>
        <w:t>PRIOR TO THE REGISTRATION OF ANY TRANSFER IN ACCORDANCE WITH CLAUSE (2)(D) ABOVE, THE COMPANY AND THE TRANSFER AGENT FOR THE COMPANY’S COMMON STOCK RESERVE THE RIGHT TO REQUIRE THE DELIVERY OF SUCH LEGAL OPINIONS, CERTIFICATIONS OR OTHER EVIDENCE AS MAY REASONABLY BE REQUIRED IN ORDER TO DETERMINE THAT THE PROPOSED TRANSFER IS BEING MADE IN COMPLIANCE WITH THE SECURITIES ACT AND APPLICABLE STATE SECURITIES LAWS. NO REPRESENTATION IS MADE AS TO THE AVAILABILITY OF ANY EXEMPTION FROM THE REGISTRATION REQUIREMENTS OF THE SECURITIES ACT.</w:t>
      </w:r>
    </w:p>
    <w:p>
      <w:pPr>
        <w:spacing w:after="0" w:line="187" w:lineRule="exact"/>
        <w:rPr>
          <w:sz w:val="20"/>
          <w:szCs w:val="20"/>
          <w:color w:val="auto"/>
        </w:rPr>
      </w:pPr>
    </w:p>
    <w:p>
      <w:pPr>
        <w:ind w:right="160" w:firstLine="440"/>
        <w:spacing w:after="0" w:line="256" w:lineRule="auto"/>
        <w:rPr>
          <w:sz w:val="20"/>
          <w:szCs w:val="20"/>
          <w:color w:val="auto"/>
        </w:rPr>
      </w:pPr>
      <w:r>
        <w:rPr>
          <w:rFonts w:ascii="Times New Roman" w:cs="Times New Roman" w:eastAsia="Times New Roman" w:hAnsi="Times New Roman"/>
          <w:sz w:val="18"/>
          <w:szCs w:val="18"/>
          <w:color w:val="auto"/>
        </w:rPr>
        <w:t>Any such Common Stock (i) as to which such restrictions on transfer shall have expired in accordance with their terms, (ii) that has been transferred pursuant to a registration statement that has become or been declared effective under the Securities Act and that continues to be effective at the time of such transfer or (iii) that has been sold pursuant to the exemption from registration provided by Rule 144 or any similar provision then in force under the Securities Act, may, upon surrender of the certificates representing such shares of Common Stock for exchange in accordance with the procedures of the transfer agent for the Common Stock, be exchanged for a new certificate or certificates for a like aggregate number of shares of Common Stock, which shall not bear the restrictive legend required by this Section 2.05(d).</w:t>
      </w:r>
    </w:p>
    <w:p>
      <w:pPr>
        <w:spacing w:after="0" w:line="187" w:lineRule="exact"/>
        <w:rPr>
          <w:sz w:val="20"/>
          <w:szCs w:val="20"/>
          <w:color w:val="auto"/>
        </w:rPr>
      </w:pPr>
    </w:p>
    <w:p>
      <w:pPr>
        <w:ind w:firstLine="436"/>
        <w:spacing w:after="0" w:line="256" w:lineRule="auto"/>
        <w:tabs>
          <w:tab w:leader="none" w:pos="685"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Note or Common Stock issued upon the conversion or exchange of a Note that is repurchased or owned by any Affiliate of the Company (or any Person who was an Affiliate of the Company at any time during the three months immediately preceding) may not be resold by such Affiliate (or such Person, as the case may be) unless registered under the Securities Act or resold pursuant to an exemption from the registration requirements of the Securities Act in a transaction that results in such Note or Common Stock, as the case may be, no longer being a “restricted security” (as defined under Rule 144). The Company shall cause any Note that is repurchased or owned by it to be surrendered to the Trustee for cancellation in accordance with Section 2.08.</w:t>
      </w:r>
    </w:p>
    <w:p>
      <w:pPr>
        <w:spacing w:after="0" w:line="187" w:lineRule="exact"/>
        <w:rPr>
          <w:rFonts w:ascii="Times New Roman" w:cs="Times New Roman" w:eastAsia="Times New Roman" w:hAnsi="Times New Roman"/>
          <w:sz w:val="18"/>
          <w:szCs w:val="18"/>
          <w:color w:val="auto"/>
        </w:rPr>
      </w:pPr>
    </w:p>
    <w:p>
      <w:pPr>
        <w:ind w:right="420" w:firstLine="436"/>
        <w:spacing w:after="0" w:line="266" w:lineRule="auto"/>
        <w:tabs>
          <w:tab w:leader="none" w:pos="665"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Notwithstanding anything contained herein to the contrary, neither the Trustee nor the Note Registrar shall be responsible for ascertaining whether any transfer complies with the registration provisions of, or exemptions from, the Securities Act, applicable state securities laws or other applicable law.</w:t>
      </w:r>
    </w:p>
    <w:p>
      <w:pPr>
        <w:spacing w:after="0" w:line="108"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23</w:t>
      </w:r>
    </w:p>
    <w:p>
      <w:pPr>
        <w:sectPr>
          <w:pgSz w:w="11900" w:h="16838" w:orient="portrait"/>
          <w:cols w:equalWidth="0" w:num="1">
            <w:col w:w="11000"/>
          </w:cols>
          <w:pgMar w:left="440" w:top="270" w:right="459" w:bottom="1440" w:gutter="0" w:footer="0" w:header="0"/>
        </w:sectPr>
      </w:pPr>
    </w:p>
    <w:bookmarkStart w:id="34" w:name="page35"/>
    <w:bookmarkEnd w:id="34"/>
    <w:p>
      <w:pPr>
        <w:ind w:firstLine="440"/>
        <w:spacing w:after="0" w:line="255"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Section 2.06</w:t>
      </w:r>
      <w:r>
        <w:rPr>
          <w:rFonts w:ascii="Times New Roman" w:cs="Times New Roman" w:eastAsia="Times New Roman" w:hAnsi="Times New Roman"/>
          <w:sz w:val="18"/>
          <w:szCs w:val="18"/>
          <w:i w:val="1"/>
          <w:iCs w:val="1"/>
          <w:color w:val="auto"/>
        </w:rPr>
        <w:t>. Mutilated, Destroyed, Lost or Stolen Notes.</w:t>
      </w:r>
      <w:r>
        <w:rPr>
          <w:rFonts w:ascii="Times New Roman" w:cs="Times New Roman" w:eastAsia="Times New Roman" w:hAnsi="Times New Roman"/>
          <w:sz w:val="18"/>
          <w:szCs w:val="18"/>
          <w:color w:val="auto"/>
        </w:rPr>
        <w:t xml:space="preserve"> In case any Note shall become mutilated or be destroyed, lost or stolen, the Company in its discretion may execute, and upon its receipt of a Company Order, the Trustee or an authenticating agent appointed by the Trustee shall authenticate and deliver, a new Note, bearing a registration number not contemporaneously outstanding, in exchange and substitution for the mutilated Note, or in lieu of and in substitution for the Note so destroyed, lost or stolen. In every case the applicant for a substituted Note shall furnish to the Company, to the Trustee and, if applicable, to such authenticating agent such security and/or indemnity satisfactory to the Company, the Trustee or if applicable, the authenticating agent, as may be required by them to save each of them harmless from any loss, liability, cost or expense caused by or connected with such substitution, and, in every case of destruction, loss or theft, the applicant shall also furnish to the Company, to the Trustee and, if applicable, to such authenticating agent evidence to their satisfaction of the destruction, loss or theft of such Note and of the ownership thereof.</w:t>
      </w:r>
    </w:p>
    <w:p>
      <w:pPr>
        <w:spacing w:after="0" w:line="187" w:lineRule="exact"/>
        <w:rPr>
          <w:sz w:val="20"/>
          <w:szCs w:val="20"/>
          <w:color w:val="auto"/>
        </w:rPr>
      </w:pPr>
    </w:p>
    <w:p>
      <w:pPr>
        <w:ind w:firstLine="440"/>
        <w:spacing w:after="0" w:line="253" w:lineRule="auto"/>
        <w:rPr>
          <w:sz w:val="20"/>
          <w:szCs w:val="20"/>
          <w:color w:val="auto"/>
        </w:rPr>
      </w:pPr>
      <w:r>
        <w:rPr>
          <w:rFonts w:ascii="Times New Roman" w:cs="Times New Roman" w:eastAsia="Times New Roman" w:hAnsi="Times New Roman"/>
          <w:sz w:val="18"/>
          <w:szCs w:val="18"/>
          <w:color w:val="auto"/>
        </w:rPr>
        <w:t>The Trustee or such authenticating agent may authenticate any such substituted Note and deliver the same upon the receipt of such security and/or indemnity as the Trustee, the Company and, if applicable, such authenticating agent may require. No service charge shall be imposed by the Company, the Trustee, the Note Registrar, any co-Note Registrar or the Paying Agent upon the issuance of any substitute Note, but the Company and/or the Trustee may require a Holder to pay a sum sufficient to cover any documentary, stamp or similar issue or transfer tax required in connection therewith as a result of the name of the Holder of the new substitute Note being different from the name of the Holder of the old Note that became mutilated or was destroyed, lost or stolen. In case any Note that has matured or is about to mature or has been surrendered for required repurchase or is about to be converted in accordance with Article 14 shall become mutilated or be destroyed, lost or stolen, the Company may, in its sole discretion, instead of issuing a substitute Note, pay or authorize the payment of or convert or authorize the conversion of the same (without surrender thereof except in the case of a mutilated Note), as the case may be, if the applicant for such payment or conversion shall furnish to the Company, to the Trustee and, if applicable, to such authenticating agent such security or indemnity as may be required by them to save each of them harmless for any loss, liability, cost or expense caused by or connected with such substitution, and, in every case of destruction, loss or theft, evidence satisfactory to the Company, the Trustee and, if applicable, any Paying Agent or Conversion Agent evidence of their satisfaction of the destruction, loss or theft of such Note and of the ownership thereof.</w:t>
      </w:r>
    </w:p>
    <w:p>
      <w:pPr>
        <w:spacing w:after="0" w:line="187" w:lineRule="exact"/>
        <w:rPr>
          <w:sz w:val="20"/>
          <w:szCs w:val="20"/>
          <w:color w:val="auto"/>
        </w:rPr>
      </w:pPr>
    </w:p>
    <w:p>
      <w:pPr>
        <w:ind w:right="80" w:firstLine="440"/>
        <w:spacing w:after="0" w:line="255" w:lineRule="auto"/>
        <w:rPr>
          <w:sz w:val="20"/>
          <w:szCs w:val="20"/>
          <w:color w:val="auto"/>
        </w:rPr>
      </w:pPr>
      <w:r>
        <w:rPr>
          <w:rFonts w:ascii="Times New Roman" w:cs="Times New Roman" w:eastAsia="Times New Roman" w:hAnsi="Times New Roman"/>
          <w:sz w:val="18"/>
          <w:szCs w:val="18"/>
          <w:color w:val="auto"/>
        </w:rPr>
        <w:t>Every substitute Note issued pursuant to the provisions of this Section 2.06 by virtue of the fact that any Note is destroyed, lost or stolen shall constitute an additional contractual obligation of the Company, whether or not the destroyed, lost or stolen Note shall be found at any time, and shall be entitled to all the benefits of (but shall be subject to all the limitations set forth in) this Indenture equally and proportionately with any and all other Notes duly issued hereunder. To the extent permitted by law, all Notes shall be held and owned upon the express condition that the foregoing provisions are exclusive with respect to the replacement, payment, redemption, conversion or repurchase of mutilated, destroyed, lost or stolen Notes and shall preclude any and all other rights or remedies notwithstanding any law or statute existing or hereafter enacted to the contrary with respect to the replacement, payment, redemption, conversion or repurchase of negotiable instruments or other securities without their surrender.</w:t>
      </w:r>
    </w:p>
    <w:p>
      <w:pPr>
        <w:spacing w:after="0" w:line="12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24</w:t>
      </w:r>
    </w:p>
    <w:p>
      <w:pPr>
        <w:sectPr>
          <w:pgSz w:w="11900" w:h="16838" w:orient="portrait"/>
          <w:cols w:equalWidth="0" w:num="1">
            <w:col w:w="11000"/>
          </w:cols>
          <w:pgMar w:left="440" w:top="268" w:right="459" w:bottom="1440" w:gutter="0" w:footer="0" w:header="0"/>
        </w:sectPr>
      </w:pPr>
    </w:p>
    <w:bookmarkStart w:id="35" w:name="page36"/>
    <w:bookmarkEnd w:id="35"/>
    <w:p>
      <w:pPr>
        <w:ind w:firstLine="440"/>
        <w:spacing w:after="0" w:line="253"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Section 2.07</w:t>
      </w:r>
      <w:r>
        <w:rPr>
          <w:rFonts w:ascii="Times New Roman" w:cs="Times New Roman" w:eastAsia="Times New Roman" w:hAnsi="Times New Roman"/>
          <w:sz w:val="18"/>
          <w:szCs w:val="18"/>
          <w:i w:val="1"/>
          <w:iCs w:val="1"/>
          <w:color w:val="auto"/>
        </w:rPr>
        <w:t>. Temporary Notes.</w:t>
      </w:r>
      <w:r>
        <w:rPr>
          <w:rFonts w:ascii="Times New Roman" w:cs="Times New Roman" w:eastAsia="Times New Roman" w:hAnsi="Times New Roman"/>
          <w:sz w:val="18"/>
          <w:szCs w:val="18"/>
          <w:color w:val="auto"/>
        </w:rPr>
        <w:t xml:space="preserve"> Pending the preparation of Physical Notes, the Company may execute and the Trustee or an authenticating agent appointed by the Trustee shall, upon written request of the Company, authenticate and deliver temporary Notes (printed or lithographed). Temporary Notes shall be issuable in any authorized denomination, and substantially in the form of the Physical Notes but with such omissions, insertions and variations as may be appropriate for temporary Notes, all as may be determined by the Company. Every such temporary Note shall be executed by the Company and authenticated by the Trustee or such authenticating agent upon the same conditions and in substantially the same manner, and with the same effect, as the Physical Notes. Without unreasonable delay, the Company shall execute and deliver to the Trustee or such authenticating agent Physical Notes (other than any Global Note) and thereupon any or all temporary Notes (other than any Global Note) may be surrendered in exchange therefor, at each office or agency maintained by the Company pursuant to Section 4.02 and the Trustee or such authenticating agent shall authenticate and deliver in exchange for such temporary Notes an equal aggregate principal amount of Physical Notes. Such exchange shall be made by the Company at its own expense and without any charge therefor. Until so exchanged, the temporary Notes shall in all respects be entitled to the same benefits and subject to the same limitations under this Indenture as Physical Notes authenticated and delivered hereunder.</w:t>
      </w:r>
    </w:p>
    <w:p>
      <w:pPr>
        <w:spacing w:after="0" w:line="192" w:lineRule="exact"/>
        <w:rPr>
          <w:sz w:val="20"/>
          <w:szCs w:val="20"/>
          <w:color w:val="auto"/>
        </w:rPr>
      </w:pPr>
    </w:p>
    <w:p>
      <w:pPr>
        <w:ind w:right="20" w:firstLine="440"/>
        <w:spacing w:after="0" w:line="255" w:lineRule="auto"/>
        <w:rPr>
          <w:sz w:val="20"/>
          <w:szCs w:val="20"/>
          <w:color w:val="auto"/>
        </w:rPr>
      </w:pPr>
      <w:r>
        <w:rPr>
          <w:rFonts w:ascii="Times New Roman" w:cs="Times New Roman" w:eastAsia="Times New Roman" w:hAnsi="Times New Roman"/>
          <w:sz w:val="18"/>
          <w:szCs w:val="18"/>
          <w:color w:val="auto"/>
        </w:rPr>
        <w:t>Section 2.08</w:t>
      </w:r>
      <w:r>
        <w:rPr>
          <w:rFonts w:ascii="Times New Roman" w:cs="Times New Roman" w:eastAsia="Times New Roman" w:hAnsi="Times New Roman"/>
          <w:sz w:val="18"/>
          <w:szCs w:val="18"/>
          <w:i w:val="1"/>
          <w:iCs w:val="1"/>
          <w:color w:val="auto"/>
        </w:rPr>
        <w:t>. Cancellation of Notes Paid, Converted, Etc.</w:t>
      </w:r>
      <w:r>
        <w:rPr>
          <w:rFonts w:ascii="Times New Roman" w:cs="Times New Roman" w:eastAsia="Times New Roman" w:hAnsi="Times New Roman"/>
          <w:sz w:val="18"/>
          <w:szCs w:val="18"/>
          <w:color w:val="auto"/>
        </w:rPr>
        <w:t xml:space="preserve"> The Company shall cause all Notes surrendered for the purpose of payment at maturity, repurchase, redemption, registration of transfer or exchange or conversion, if surrendered to any Person other than the Trustee (including the Company or any of the Company’s agents, Subsidiaries or Affiliates, in each case that the Company controls), to be surrendered to the Trustee for cancellation. All Notes delivered to the Trustee for cancellation shall be canceled promptly by it in accordance with its customary procedures. Except for any Notes surrendered for registration of transfer or exchange, or as otherwise expressly permitted by any of the provisions of this Indenture, no Notes shall be authenticated in exchange for any Notes surrendered to the Trustee for cancellation. The Trustee shall dispose of canceled Notes in accordance with its customary procedures and, after such disposition, shall deliver evidence of such disposition to the Company, at the Company’s written request in a Company Order.</w:t>
      </w:r>
    </w:p>
    <w:p>
      <w:pPr>
        <w:spacing w:after="0" w:line="185" w:lineRule="exact"/>
        <w:rPr>
          <w:sz w:val="20"/>
          <w:szCs w:val="20"/>
          <w:color w:val="auto"/>
        </w:rPr>
      </w:pPr>
    </w:p>
    <w:p>
      <w:pPr>
        <w:ind w:right="40" w:firstLine="440"/>
        <w:spacing w:after="0" w:line="281" w:lineRule="auto"/>
        <w:rPr>
          <w:sz w:val="20"/>
          <w:szCs w:val="20"/>
          <w:color w:val="auto"/>
        </w:rPr>
      </w:pPr>
      <w:r>
        <w:rPr>
          <w:rFonts w:ascii="Times New Roman" w:cs="Times New Roman" w:eastAsia="Times New Roman" w:hAnsi="Times New Roman"/>
          <w:sz w:val="17"/>
          <w:szCs w:val="17"/>
          <w:color w:val="auto"/>
        </w:rPr>
        <w:t>Section 2.09</w:t>
      </w:r>
      <w:r>
        <w:rPr>
          <w:rFonts w:ascii="Times New Roman" w:cs="Times New Roman" w:eastAsia="Times New Roman" w:hAnsi="Times New Roman"/>
          <w:sz w:val="17"/>
          <w:szCs w:val="17"/>
          <w:i w:val="1"/>
          <w:iCs w:val="1"/>
          <w:color w:val="auto"/>
        </w:rPr>
        <w:t>. CUSIP Numbers.</w:t>
      </w:r>
      <w:r>
        <w:rPr>
          <w:rFonts w:ascii="Times New Roman" w:cs="Times New Roman" w:eastAsia="Times New Roman" w:hAnsi="Times New Roman"/>
          <w:sz w:val="17"/>
          <w:szCs w:val="17"/>
          <w:color w:val="auto"/>
        </w:rPr>
        <w:t xml:space="preserve"> The Company in issuing the Notes may use “CUSIP” numbers (if then generally in use), and, if so, the Trustee shall use “CUSIP” numbers in all notices issued to Holders as a convenience to such Holders;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 xml:space="preserve"> that any such notice may state that no representation is made as to the correctness of such numbers either as printed on the Notes or on such notice and that reliance may be placed only on the other identification numbers printed on the Notes. The Company shall promptly notify the Trustee in writing of any change in the “CUSIP” numbers.</w:t>
      </w:r>
    </w:p>
    <w:p>
      <w:pPr>
        <w:spacing w:after="0" w:line="164" w:lineRule="exact"/>
        <w:rPr>
          <w:sz w:val="20"/>
          <w:szCs w:val="20"/>
          <w:color w:val="auto"/>
        </w:rPr>
      </w:pPr>
    </w:p>
    <w:p>
      <w:pPr>
        <w:ind w:right="20" w:firstLine="440"/>
        <w:spacing w:after="0" w:line="258" w:lineRule="auto"/>
        <w:rPr>
          <w:sz w:val="20"/>
          <w:szCs w:val="20"/>
          <w:color w:val="auto"/>
        </w:rPr>
      </w:pPr>
      <w:r>
        <w:rPr>
          <w:rFonts w:ascii="Times New Roman" w:cs="Times New Roman" w:eastAsia="Times New Roman" w:hAnsi="Times New Roman"/>
          <w:sz w:val="18"/>
          <w:szCs w:val="18"/>
          <w:color w:val="auto"/>
        </w:rPr>
        <w:t>Section 2.10</w:t>
      </w:r>
      <w:r>
        <w:rPr>
          <w:rFonts w:ascii="Times New Roman" w:cs="Times New Roman" w:eastAsia="Times New Roman" w:hAnsi="Times New Roman"/>
          <w:sz w:val="18"/>
          <w:szCs w:val="18"/>
          <w:i w:val="1"/>
          <w:iCs w:val="1"/>
          <w:color w:val="auto"/>
        </w:rPr>
        <w:t>. Additional Notes; Repurchases.</w:t>
      </w:r>
      <w:r>
        <w:rPr>
          <w:rFonts w:ascii="Times New Roman" w:cs="Times New Roman" w:eastAsia="Times New Roman" w:hAnsi="Times New Roman"/>
          <w:sz w:val="18"/>
          <w:szCs w:val="18"/>
          <w:color w:val="auto"/>
        </w:rPr>
        <w:t xml:space="preserve"> The Company may, without the consent of the Holders and notwithstanding Section 2.01, reopen this Indenture and issue additional Notes hereunder with the same terms as the Notes initially issued hereunder (other than differences in the issue date, the issue price and interest accrued prior to the issue date of such additional Notes) in an unlimited aggregate principal amount;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if any such additional Notes are not fungible with the Notes initially issued hereunder for U.S. federal income tax or securities law purposes, such additional Notes shall have a separate CUSIP number. Prior to the issuance of any such additional Notes, the Company shall deliver to the</w:t>
      </w:r>
    </w:p>
    <w:p>
      <w:pPr>
        <w:spacing w:after="0" w:line="11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25</w:t>
      </w:r>
    </w:p>
    <w:p>
      <w:pPr>
        <w:sectPr>
          <w:pgSz w:w="11900" w:h="16838" w:orient="portrait"/>
          <w:cols w:equalWidth="0" w:num="1">
            <w:col w:w="11000"/>
          </w:cols>
          <w:pgMar w:left="440" w:top="268" w:right="459" w:bottom="1440" w:gutter="0" w:footer="0" w:header="0"/>
        </w:sectPr>
      </w:pPr>
    </w:p>
    <w:bookmarkStart w:id="36" w:name="page37"/>
    <w:bookmarkEnd w:id="36"/>
    <w:p>
      <w:pPr>
        <w:ind w:right="40"/>
        <w:spacing w:after="0" w:line="254"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Trustee a Company Order, an Officer’s Certificate and an Opinion of Counsel, such Officer’s Certificate and Opinion of Counsel to cover such matters applicable to the issuance of additional Notes, in addition to those required by Section 17.05. In addition, the Company may, to the extent permitted by law, and, without the consent of or notice to the Holders, directly or indirectly (regardless of whether such Notes are surrendered to the Company), repurchase Notes in the open market or otherwise, whether by the Company or its Subsidiaries or through a private or public tender or exchange offer or through counterparties to private agreements, including by cash-settled swaps or other derivatives. The Company may, at its option, cause any Notes so repurchased to be surrendered to the Trustee for cancellation in accordance with Section 2.08. Any Notes repurchased by the Company will be considered outstanding for all purposes under this Indenture (other than voting) unless and until such time the Company surrenders them to the Trustee for cancellation and, upon receipt of a written order from the Company, the Trustee will cancel all Notes so surrendered. Notwithstanding the foregoing, the Company shall not reissue or resell any Notes repurchased.</w:t>
      </w:r>
    </w:p>
    <w:p>
      <w:pPr>
        <w:spacing w:after="0" w:line="18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ARTICLE 3</w:t>
      </w:r>
    </w:p>
    <w:p>
      <w:pPr>
        <w:spacing w:after="0" w:line="2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S</w:t>
      </w:r>
      <w:r>
        <w:rPr>
          <w:rFonts w:ascii="Times New Roman" w:cs="Times New Roman" w:eastAsia="Times New Roman" w:hAnsi="Times New Roman"/>
          <w:sz w:val="14"/>
          <w:szCs w:val="14"/>
          <w:color w:val="auto"/>
        </w:rPr>
        <w:t>ATISFACTION AND</w:t>
      </w:r>
      <w:r>
        <w:rPr>
          <w:rFonts w:ascii="Times New Roman" w:cs="Times New Roman" w:eastAsia="Times New Roman" w:hAnsi="Times New Roman"/>
          <w:sz w:val="18"/>
          <w:szCs w:val="18"/>
          <w:color w:val="auto"/>
        </w:rPr>
        <w:t xml:space="preserve"> D</w:t>
      </w:r>
      <w:r>
        <w:rPr>
          <w:rFonts w:ascii="Times New Roman" w:cs="Times New Roman" w:eastAsia="Times New Roman" w:hAnsi="Times New Roman"/>
          <w:sz w:val="14"/>
          <w:szCs w:val="14"/>
          <w:color w:val="auto"/>
        </w:rPr>
        <w:t>ISCHARGE</w:t>
      </w:r>
    </w:p>
    <w:p>
      <w:pPr>
        <w:spacing w:after="0" w:line="205" w:lineRule="exact"/>
        <w:rPr>
          <w:sz w:val="20"/>
          <w:szCs w:val="20"/>
          <w:color w:val="auto"/>
        </w:rPr>
      </w:pPr>
    </w:p>
    <w:p>
      <w:pPr>
        <w:ind w:firstLine="440"/>
        <w:spacing w:after="0" w:line="253" w:lineRule="auto"/>
        <w:rPr>
          <w:sz w:val="20"/>
          <w:szCs w:val="20"/>
          <w:color w:val="auto"/>
        </w:rPr>
      </w:pPr>
      <w:r>
        <w:rPr>
          <w:rFonts w:ascii="Times New Roman" w:cs="Times New Roman" w:eastAsia="Times New Roman" w:hAnsi="Times New Roman"/>
          <w:sz w:val="18"/>
          <w:szCs w:val="18"/>
          <w:color w:val="auto"/>
        </w:rPr>
        <w:t>Section 3.01</w:t>
      </w:r>
      <w:r>
        <w:rPr>
          <w:rFonts w:ascii="Times New Roman" w:cs="Times New Roman" w:eastAsia="Times New Roman" w:hAnsi="Times New Roman"/>
          <w:sz w:val="18"/>
          <w:szCs w:val="18"/>
          <w:i w:val="1"/>
          <w:iCs w:val="1"/>
          <w:color w:val="auto"/>
        </w:rPr>
        <w:t>. Satisfaction and Discharge.</w:t>
      </w:r>
      <w:r>
        <w:rPr>
          <w:rFonts w:ascii="Times New Roman" w:cs="Times New Roman" w:eastAsia="Times New Roman" w:hAnsi="Times New Roman"/>
          <w:sz w:val="18"/>
          <w:szCs w:val="18"/>
          <w:color w:val="auto"/>
        </w:rPr>
        <w:t xml:space="preserve"> This Indenture and the Notes shall upon request of the Company contained in an Officer’s Certificate cease to be of further effect, and the Trustee, at the expense of the Company, shall execute proper instruments reasonably requested by the Company acknowledging satisfaction and discharge of this Indenture and the Notes, when (a) (i) all Notes theretofore authenticated and delivered (other than Notes which have been destroyed, lost or stolen and which have been replaced, paid or converted as provided in Section 2.06) have been delivered to the Trustee for cancellation; or (ii) the Company has deposited with the Trustee or delivered to Holders, as applicable, after the Notes have become due and payable, whether on the Maturity Date, any Redemption Date, the Repurchase Date, any Fundamental Change Repurchase Date, upon conversion or otherwise, cash or shares of Common Stock or a combination thereof, as applicable, solely to satisfy the Company’s Conversion Obligation, sufficient to pay all of the outstanding Notes and all other sums due and payable under this Indenture by the Company; and (b) the Company has delivered to the Trustee an Officer’s Certificate and an Opinion of Counsel, each stating that all conditions precedent herein provided for relating to the satisfaction and discharge of this Indenture have been complied with. Notwithstanding the satisfaction and discharge of this Indenture, the obligations of the Company to the Trustee under Section 7.06 shall survive.</w:t>
      </w:r>
    </w:p>
    <w:p>
      <w:pPr>
        <w:spacing w:after="0" w:line="19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ARTICLE 4</w:t>
      </w:r>
    </w:p>
    <w:p>
      <w:pPr>
        <w:spacing w:after="0" w:line="2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P</w:t>
      </w:r>
      <w:r>
        <w:rPr>
          <w:rFonts w:ascii="Times New Roman" w:cs="Times New Roman" w:eastAsia="Times New Roman" w:hAnsi="Times New Roman"/>
          <w:sz w:val="14"/>
          <w:szCs w:val="14"/>
          <w:color w:val="auto"/>
        </w:rPr>
        <w:t>ARTICULAR</w:t>
      </w:r>
      <w:r>
        <w:rPr>
          <w:rFonts w:ascii="Times New Roman" w:cs="Times New Roman" w:eastAsia="Times New Roman" w:hAnsi="Times New Roman"/>
          <w:sz w:val="18"/>
          <w:szCs w:val="18"/>
          <w:color w:val="auto"/>
        </w:rPr>
        <w:t xml:space="preserve"> C</w:t>
      </w:r>
      <w:r>
        <w:rPr>
          <w:rFonts w:ascii="Times New Roman" w:cs="Times New Roman" w:eastAsia="Times New Roman" w:hAnsi="Times New Roman"/>
          <w:sz w:val="14"/>
          <w:szCs w:val="14"/>
          <w:color w:val="auto"/>
        </w:rPr>
        <w:t>OVENANTS OF THE</w:t>
      </w:r>
      <w:r>
        <w:rPr>
          <w:rFonts w:ascii="Times New Roman" w:cs="Times New Roman" w:eastAsia="Times New Roman" w:hAnsi="Times New Roman"/>
          <w:sz w:val="18"/>
          <w:szCs w:val="18"/>
          <w:color w:val="auto"/>
        </w:rPr>
        <w:t xml:space="preserve"> C</w:t>
      </w:r>
      <w:r>
        <w:rPr>
          <w:rFonts w:ascii="Times New Roman" w:cs="Times New Roman" w:eastAsia="Times New Roman" w:hAnsi="Times New Roman"/>
          <w:sz w:val="14"/>
          <w:szCs w:val="14"/>
          <w:color w:val="auto"/>
        </w:rPr>
        <w:t>OMPANY</w:t>
      </w:r>
    </w:p>
    <w:p>
      <w:pPr>
        <w:spacing w:after="0" w:line="205" w:lineRule="exact"/>
        <w:rPr>
          <w:sz w:val="20"/>
          <w:szCs w:val="20"/>
          <w:color w:val="auto"/>
        </w:rPr>
      </w:pPr>
    </w:p>
    <w:p>
      <w:pPr>
        <w:ind w:right="200" w:firstLine="440"/>
        <w:spacing w:after="0" w:line="267" w:lineRule="auto"/>
        <w:rPr>
          <w:sz w:val="20"/>
          <w:szCs w:val="20"/>
          <w:color w:val="auto"/>
        </w:rPr>
      </w:pPr>
      <w:r>
        <w:rPr>
          <w:rFonts w:ascii="Times New Roman" w:cs="Times New Roman" w:eastAsia="Times New Roman" w:hAnsi="Times New Roman"/>
          <w:sz w:val="18"/>
          <w:szCs w:val="18"/>
          <w:color w:val="auto"/>
        </w:rPr>
        <w:t>Section 4.01</w:t>
      </w:r>
      <w:r>
        <w:rPr>
          <w:rFonts w:ascii="Times New Roman" w:cs="Times New Roman" w:eastAsia="Times New Roman" w:hAnsi="Times New Roman"/>
          <w:sz w:val="18"/>
          <w:szCs w:val="18"/>
          <w:i w:val="1"/>
          <w:iCs w:val="1"/>
          <w:color w:val="auto"/>
        </w:rPr>
        <w:t>. Payment of Principal and Interest.</w:t>
      </w:r>
      <w:r>
        <w:rPr>
          <w:rFonts w:ascii="Times New Roman" w:cs="Times New Roman" w:eastAsia="Times New Roman" w:hAnsi="Times New Roman"/>
          <w:sz w:val="18"/>
          <w:szCs w:val="18"/>
          <w:color w:val="auto"/>
        </w:rPr>
        <w:t xml:space="preserve"> The Company covenants and agrees that it will cause to be paid the principal (including the Redemption Price, the Repurchase Price and the Fundamental Change Repurchase Price, if applicable) of, and accrued and unpaid interest on, each of the Notes at the places, at the respective times and in the manner provided herein and in the Notes.</w:t>
      </w:r>
    </w:p>
    <w:p>
      <w:pPr>
        <w:spacing w:after="0" w:line="1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26</w:t>
      </w:r>
    </w:p>
    <w:p>
      <w:pPr>
        <w:sectPr>
          <w:pgSz w:w="11900" w:h="16838" w:orient="portrait"/>
          <w:cols w:equalWidth="0" w:num="1">
            <w:col w:w="11000"/>
          </w:cols>
          <w:pgMar w:left="440" w:top="270" w:right="459" w:bottom="1440" w:gutter="0" w:footer="0" w:header="0"/>
        </w:sectPr>
      </w:pPr>
    </w:p>
    <w:bookmarkStart w:id="37" w:name="page38"/>
    <w:bookmarkEnd w:id="37"/>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Section 4.02</w:t>
      </w:r>
      <w:r>
        <w:rPr>
          <w:rFonts w:ascii="Times New Roman" w:cs="Times New Roman" w:eastAsia="Times New Roman" w:hAnsi="Times New Roman"/>
          <w:sz w:val="18"/>
          <w:szCs w:val="18"/>
          <w:i w:val="1"/>
          <w:iCs w:val="1"/>
          <w:color w:val="auto"/>
        </w:rPr>
        <w:t>. Maintenance of Office or Agency.</w:t>
      </w:r>
      <w:r>
        <w:rPr>
          <w:rFonts w:ascii="Times New Roman" w:cs="Times New Roman" w:eastAsia="Times New Roman" w:hAnsi="Times New Roman"/>
          <w:sz w:val="18"/>
          <w:szCs w:val="18"/>
          <w:color w:val="auto"/>
        </w:rPr>
        <w:t xml:space="preserve"> The Company will maintain in the United States of America, an office or agency where the Notes</w:t>
      </w:r>
    </w:p>
    <w:p>
      <w:pPr>
        <w:spacing w:after="0" w:line="2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may be surrendered for registration of transfer or exchange or for presentation for payment or repurchase (“</w:t>
      </w:r>
      <w:r>
        <w:rPr>
          <w:rFonts w:ascii="Times New Roman" w:cs="Times New Roman" w:eastAsia="Times New Roman" w:hAnsi="Times New Roman"/>
          <w:sz w:val="18"/>
          <w:szCs w:val="18"/>
          <w:b w:val="1"/>
          <w:bCs w:val="1"/>
          <w:color w:val="auto"/>
        </w:rPr>
        <w:t>Paying Agent</w:t>
      </w:r>
      <w:r>
        <w:rPr>
          <w:rFonts w:ascii="Times New Roman" w:cs="Times New Roman" w:eastAsia="Times New Roman" w:hAnsi="Times New Roman"/>
          <w:sz w:val="18"/>
          <w:szCs w:val="18"/>
          <w:color w:val="auto"/>
        </w:rPr>
        <w:t>”) or for conversion</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 Agent</w:t>
      </w:r>
      <w:r>
        <w:rPr>
          <w:rFonts w:ascii="Times New Roman" w:cs="Times New Roman" w:eastAsia="Times New Roman" w:hAnsi="Times New Roman"/>
          <w:sz w:val="18"/>
          <w:szCs w:val="18"/>
          <w:color w:val="auto"/>
        </w:rPr>
        <w:t>”) and where notices and demands to or upon the Company in respect of the Notes and this Indenture may be made or served. The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Company will give prompt written notice to the Trustee of the location, and any change in the location, of such office or agency. If at any time the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Company shall fail to maintain any such required office or agency or shall fail to furnish the Trustee with the address thereof, such presentations,</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surrenders, notices and demands may be made or served at the Corporate Trust Office or any other office or agency in the United States of America so</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designated by the Trustee as a place where Notes may be presented for payment or for registration of transfer.</w:t>
      </w:r>
    </w:p>
    <w:p>
      <w:pPr>
        <w:spacing w:after="0" w:line="207" w:lineRule="exact"/>
        <w:rPr>
          <w:sz w:val="20"/>
          <w:szCs w:val="20"/>
          <w:color w:val="auto"/>
        </w:rPr>
      </w:pPr>
    </w:p>
    <w:p>
      <w:pPr>
        <w:ind w:right="20" w:firstLine="440"/>
        <w:spacing w:after="0" w:line="277" w:lineRule="auto"/>
        <w:rPr>
          <w:sz w:val="20"/>
          <w:szCs w:val="20"/>
          <w:color w:val="auto"/>
        </w:rPr>
      </w:pPr>
      <w:r>
        <w:rPr>
          <w:rFonts w:ascii="Times New Roman" w:cs="Times New Roman" w:eastAsia="Times New Roman" w:hAnsi="Times New Roman"/>
          <w:sz w:val="17"/>
          <w:szCs w:val="17"/>
          <w:color w:val="auto"/>
        </w:rPr>
        <w:t xml:space="preserve">The Company may also from time to time designate as Paying Agent or Co-Note Registrars one or more other offices or agencies where the Notes may be presented or surrendered for any or all such purposes and may from time to time rescind such designations;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 xml:space="preserve"> that no such designation or rescission shall in any manner relieve the Company of its obligation to maintain an office or agency in the United States of America, for such purposes. The Company will give prompt written notice to the Trustee of any such designation or rescission and of any change in the location of any such other office or agency. The terms “</w:t>
      </w:r>
      <w:r>
        <w:rPr>
          <w:rFonts w:ascii="Times New Roman" w:cs="Times New Roman" w:eastAsia="Times New Roman" w:hAnsi="Times New Roman"/>
          <w:sz w:val="17"/>
          <w:szCs w:val="17"/>
          <w:b w:val="1"/>
          <w:bCs w:val="1"/>
          <w:color w:val="auto"/>
        </w:rPr>
        <w:t>Paying Agent</w:t>
      </w:r>
      <w:r>
        <w:rPr>
          <w:rFonts w:ascii="Times New Roman" w:cs="Times New Roman" w:eastAsia="Times New Roman" w:hAnsi="Times New Roman"/>
          <w:sz w:val="17"/>
          <w:szCs w:val="17"/>
          <w:color w:val="auto"/>
        </w:rPr>
        <w:t>” and “</w:t>
      </w:r>
      <w:r>
        <w:rPr>
          <w:rFonts w:ascii="Times New Roman" w:cs="Times New Roman" w:eastAsia="Times New Roman" w:hAnsi="Times New Roman"/>
          <w:sz w:val="17"/>
          <w:szCs w:val="17"/>
          <w:b w:val="1"/>
          <w:bCs w:val="1"/>
          <w:color w:val="auto"/>
        </w:rPr>
        <w:t>Conversion Agent</w:t>
      </w:r>
      <w:r>
        <w:rPr>
          <w:rFonts w:ascii="Times New Roman" w:cs="Times New Roman" w:eastAsia="Times New Roman" w:hAnsi="Times New Roman"/>
          <w:sz w:val="17"/>
          <w:szCs w:val="17"/>
          <w:color w:val="auto"/>
        </w:rPr>
        <w:t>” include any such additional or other offices or agencies, as applicable.</w:t>
      </w:r>
    </w:p>
    <w:p>
      <w:pPr>
        <w:spacing w:after="0" w:line="168" w:lineRule="exact"/>
        <w:rPr>
          <w:sz w:val="20"/>
          <w:szCs w:val="20"/>
          <w:color w:val="auto"/>
        </w:rPr>
      </w:pPr>
    </w:p>
    <w:p>
      <w:pPr>
        <w:ind w:right="320" w:firstLine="440"/>
        <w:spacing w:after="0" w:line="261" w:lineRule="auto"/>
        <w:rPr>
          <w:sz w:val="20"/>
          <w:szCs w:val="20"/>
          <w:color w:val="auto"/>
        </w:rPr>
      </w:pPr>
      <w:r>
        <w:rPr>
          <w:rFonts w:ascii="Times New Roman" w:cs="Times New Roman" w:eastAsia="Times New Roman" w:hAnsi="Times New Roman"/>
          <w:sz w:val="18"/>
          <w:szCs w:val="18"/>
          <w:color w:val="auto"/>
        </w:rPr>
        <w:t>The Company hereby initially designates the Trustee as the Paying Agent, Note Registrar, Custodian and Conversion Agent and the Corporate Trust Office as the office or agency in the United States of America where Notes may be surrendered for registration of transfer or exchange or for presentation for payment or repurchase or for conversion and where notices and demands to or upon the Company in respect of the Notes and this Indenture may be made or served.</w:t>
      </w:r>
    </w:p>
    <w:p>
      <w:pPr>
        <w:spacing w:after="0" w:line="180" w:lineRule="exact"/>
        <w:rPr>
          <w:sz w:val="20"/>
          <w:szCs w:val="20"/>
          <w:color w:val="auto"/>
        </w:rPr>
      </w:pPr>
    </w:p>
    <w:p>
      <w:pPr>
        <w:ind w:firstLine="440"/>
        <w:spacing w:after="0" w:line="266" w:lineRule="auto"/>
        <w:rPr>
          <w:sz w:val="20"/>
          <w:szCs w:val="20"/>
          <w:color w:val="auto"/>
        </w:rPr>
      </w:pPr>
      <w:r>
        <w:rPr>
          <w:rFonts w:ascii="Times New Roman" w:cs="Times New Roman" w:eastAsia="Times New Roman" w:hAnsi="Times New Roman"/>
          <w:sz w:val="18"/>
          <w:szCs w:val="18"/>
          <w:color w:val="auto"/>
        </w:rPr>
        <w:t>In acting hereunder and in connection with the Notes, the Paying Agent, Conversion Agent, Custodian, and Note Registrar shall act solely as agent of the Company and will not assume any fiduciary duty or other obligation towards or relationship of agency or trust for or with any of the owners or Holders of the Notes.</w:t>
      </w:r>
    </w:p>
    <w:p>
      <w:pPr>
        <w:spacing w:after="0" w:line="174" w:lineRule="exact"/>
        <w:rPr>
          <w:sz w:val="20"/>
          <w:szCs w:val="20"/>
          <w:color w:val="auto"/>
        </w:rPr>
      </w:pPr>
    </w:p>
    <w:p>
      <w:pPr>
        <w:ind w:right="380" w:firstLine="440"/>
        <w:spacing w:after="0" w:line="284" w:lineRule="auto"/>
        <w:rPr>
          <w:sz w:val="20"/>
          <w:szCs w:val="20"/>
          <w:color w:val="auto"/>
        </w:rPr>
      </w:pPr>
      <w:r>
        <w:rPr>
          <w:rFonts w:ascii="Times New Roman" w:cs="Times New Roman" w:eastAsia="Times New Roman" w:hAnsi="Times New Roman"/>
          <w:sz w:val="18"/>
          <w:szCs w:val="18"/>
          <w:color w:val="auto"/>
        </w:rPr>
        <w:t>Section 4.03</w:t>
      </w:r>
      <w:r>
        <w:rPr>
          <w:rFonts w:ascii="Times New Roman" w:cs="Times New Roman" w:eastAsia="Times New Roman" w:hAnsi="Times New Roman"/>
          <w:sz w:val="18"/>
          <w:szCs w:val="18"/>
          <w:i w:val="1"/>
          <w:iCs w:val="1"/>
          <w:color w:val="auto"/>
        </w:rPr>
        <w:t>. Appointments to Fill Vacancies in Trustee’s Office.</w:t>
      </w:r>
      <w:r>
        <w:rPr>
          <w:rFonts w:ascii="Times New Roman" w:cs="Times New Roman" w:eastAsia="Times New Roman" w:hAnsi="Times New Roman"/>
          <w:sz w:val="18"/>
          <w:szCs w:val="18"/>
          <w:color w:val="auto"/>
        </w:rPr>
        <w:t xml:space="preserve"> The Company, whenever necessary to avoid or fill a vacancy in the office of Trustee, will appoint, in the manner provided in Section 7.09, a Trustee, so that there shall at all times be a Trustee hereunder.</w:t>
      </w:r>
    </w:p>
    <w:p>
      <w:pPr>
        <w:spacing w:after="0" w:line="158" w:lineRule="exact"/>
        <w:rPr>
          <w:sz w:val="20"/>
          <w:szCs w:val="20"/>
          <w:color w:val="auto"/>
        </w:rPr>
      </w:pPr>
    </w:p>
    <w:p>
      <w:pPr>
        <w:ind w:firstLine="440"/>
        <w:spacing w:after="0" w:line="267" w:lineRule="auto"/>
        <w:rPr>
          <w:sz w:val="20"/>
          <w:szCs w:val="20"/>
          <w:color w:val="auto"/>
        </w:rPr>
      </w:pPr>
      <w:r>
        <w:rPr>
          <w:rFonts w:ascii="Times New Roman" w:cs="Times New Roman" w:eastAsia="Times New Roman" w:hAnsi="Times New Roman"/>
          <w:sz w:val="18"/>
          <w:szCs w:val="18"/>
          <w:color w:val="auto"/>
        </w:rPr>
        <w:t>Section 4.04</w:t>
      </w:r>
      <w:r>
        <w:rPr>
          <w:rFonts w:ascii="Times New Roman" w:cs="Times New Roman" w:eastAsia="Times New Roman" w:hAnsi="Times New Roman"/>
          <w:sz w:val="18"/>
          <w:szCs w:val="18"/>
          <w:i w:val="1"/>
          <w:iCs w:val="1"/>
          <w:color w:val="auto"/>
        </w:rPr>
        <w:t>. Provisions as to Paying Agent.</w:t>
      </w:r>
      <w:r>
        <w:rPr>
          <w:rFonts w:ascii="Times New Roman" w:cs="Times New Roman" w:eastAsia="Times New Roman" w:hAnsi="Times New Roman"/>
          <w:sz w:val="18"/>
          <w:szCs w:val="18"/>
          <w:color w:val="auto"/>
        </w:rPr>
        <w:t xml:space="preserve"> (a) If the Company shall appoint a Paying Agent other than the Trustee, the Company will cause such Paying Agent to execute and deliver to the Trustee an instrument in which such agent shall agree with the Trustee, subject to the provisions of this Section 4.04:</w:t>
      </w:r>
    </w:p>
    <w:p>
      <w:pPr>
        <w:spacing w:after="0" w:line="67" w:lineRule="exact"/>
        <w:rPr>
          <w:sz w:val="20"/>
          <w:szCs w:val="20"/>
          <w:color w:val="auto"/>
        </w:rPr>
      </w:pPr>
    </w:p>
    <w:p>
      <w:pPr>
        <w:ind w:left="440" w:right="120" w:firstLine="419"/>
        <w:spacing w:after="0" w:line="266" w:lineRule="auto"/>
        <w:tabs>
          <w:tab w:leader="none" w:pos="1078" w:val="left"/>
        </w:tabs>
        <w:numPr>
          <w:ilvl w:val="0"/>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it will hold all sums held by it as such agent for the payment of the principal (including the Redemption Price, the Repurchase Price and the Fundamental Change Repurchase Price, if applicable) of, and accrued and unpaid interest on, the Notes in trust for the benefit of the Holders of the Notes;</w:t>
      </w:r>
    </w:p>
    <w:p>
      <w:pPr>
        <w:spacing w:after="0" w:line="1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27</w:t>
      </w:r>
    </w:p>
    <w:p>
      <w:pPr>
        <w:sectPr>
          <w:pgSz w:w="11900" w:h="16838" w:orient="portrait"/>
          <w:cols w:equalWidth="0" w:num="1">
            <w:col w:w="11000"/>
          </w:cols>
          <w:pgMar w:left="440" w:top="268" w:right="459" w:bottom="1440" w:gutter="0" w:footer="0" w:header="0"/>
        </w:sectPr>
      </w:pPr>
    </w:p>
    <w:bookmarkStart w:id="38" w:name="page39"/>
    <w:bookmarkEnd w:id="38"/>
    <w:p>
      <w:pPr>
        <w:ind w:left="440" w:right="60" w:firstLine="419"/>
        <w:spacing w:after="0" w:line="266" w:lineRule="auto"/>
        <w:tabs>
          <w:tab w:leader="none" w:pos="1128" w:val="left"/>
        </w:tabs>
        <w:numPr>
          <w:ilvl w:val="0"/>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that it will give the Trustee prompt notice of any failure by the Company to make any payment of the principal (including the Redemption Price, the Repurchase Price and the Fundamental Change Repurchase Price, if applicable) of, and accrued and unpaid interest on, the Notes when the same shall be due and payable; and</w:t>
      </w:r>
    </w:p>
    <w:p>
      <w:pPr>
        <w:spacing w:after="0" w:line="67" w:lineRule="exact"/>
        <w:rPr>
          <w:rFonts w:ascii="Times New Roman" w:cs="Times New Roman" w:eastAsia="Times New Roman" w:hAnsi="Times New Roman"/>
          <w:sz w:val="18"/>
          <w:szCs w:val="18"/>
          <w:color w:val="auto"/>
        </w:rPr>
      </w:pPr>
    </w:p>
    <w:p>
      <w:pPr>
        <w:ind w:left="440" w:right="80" w:firstLine="419"/>
        <w:spacing w:after="0" w:line="282" w:lineRule="auto"/>
        <w:tabs>
          <w:tab w:leader="none" w:pos="1178" w:val="left"/>
        </w:tabs>
        <w:numPr>
          <w:ilvl w:val="0"/>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at any time during the continuance of an Event of Default, upon request of the Trustee, it will forthwith pay to the Trustee all sums so held in trust.</w:t>
      </w:r>
    </w:p>
    <w:p>
      <w:pPr>
        <w:spacing w:after="0" w:line="16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that a Paying Agent appointed as contemplated under Section 4.02 shall not be required to deliver any such instrument.</w:t>
      </w:r>
    </w:p>
    <w:p>
      <w:pPr>
        <w:spacing w:after="0" w:line="227" w:lineRule="exact"/>
        <w:rPr>
          <w:sz w:val="20"/>
          <w:szCs w:val="20"/>
          <w:color w:val="auto"/>
        </w:rPr>
      </w:pPr>
    </w:p>
    <w:p>
      <w:pPr>
        <w:ind w:right="120" w:firstLine="440"/>
        <w:spacing w:after="0" w:line="255" w:lineRule="auto"/>
        <w:rPr>
          <w:sz w:val="20"/>
          <w:szCs w:val="20"/>
          <w:color w:val="auto"/>
        </w:rPr>
      </w:pPr>
      <w:r>
        <w:rPr>
          <w:rFonts w:ascii="Times New Roman" w:cs="Times New Roman" w:eastAsia="Times New Roman" w:hAnsi="Times New Roman"/>
          <w:sz w:val="18"/>
          <w:szCs w:val="18"/>
          <w:color w:val="auto"/>
        </w:rPr>
        <w:t xml:space="preserve">The Company shall, on or before each due date of the principal (including the Redemption Price, the Repurchase Price and the Fundamental Change Repurchase Price, if applicable) of, or accrued and unpaid interest on, the Notes, deposit with the Paying Agent a sum sufficient to pay such principal (including the Redemption Price, the Repurchase Price and the Fundamental Change Repurchase Price, if applicable) or accrued and unpaid interest, and (unless such Paying Agent is the Trustee) the Company will promptly notify the Trustee of any failure to take such action;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if such deposit is made on the due date, such deposit must be received by the Paying Agent by 11:00 a.m., New York City time, on such date;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further</w:t>
      </w:r>
      <w:r>
        <w:rPr>
          <w:rFonts w:ascii="Times New Roman" w:cs="Times New Roman" w:eastAsia="Times New Roman" w:hAnsi="Times New Roman"/>
          <w:sz w:val="18"/>
          <w:szCs w:val="18"/>
          <w:color w:val="auto"/>
        </w:rPr>
        <w:t>, that to the extent such deposit is received by the Paying Agent after 11:00 a.m. New York City time, on any such due date, such deposit will be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deemed deposited on the next Business Day.</w:t>
      </w:r>
    </w:p>
    <w:p>
      <w:pPr>
        <w:spacing w:after="0" w:line="189" w:lineRule="exact"/>
        <w:rPr>
          <w:sz w:val="20"/>
          <w:szCs w:val="20"/>
          <w:color w:val="auto"/>
        </w:rPr>
      </w:pPr>
    </w:p>
    <w:p>
      <w:pPr>
        <w:ind w:firstLine="436"/>
        <w:spacing w:after="0" w:line="255" w:lineRule="auto"/>
        <w:tabs>
          <w:tab w:leader="none" w:pos="695" w:val="left"/>
        </w:tabs>
        <w:numPr>
          <w:ilvl w:val="0"/>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Company shall act as its own Paying Agent, it will, on or before each due date of the principal (including the Redemption Price, the Repurchase Price and the Fundamental Change Repurchase Price, if applicable) of, and accrued and unpaid interest on, the Notes, set aside, segregate and hold in trust for the benefit of the Holders of the Notes a sum sufficient to pay such principal (including the Redemption Price, the Repurchase Price and the Fundamental Change Repurchase Price, if applicable) and accrued and unpaid interest so becoming due and will promptly notify the Trustee in writing of any failure to take such action and of any failure by the Company to make any payment of the principal (including the Redemption Price, the Repurchase Price and the Fundamental Change Repurchase Price, if applicable) of, or accrued and unpaid interest on, the Notes when the same shall become due and payable.</w:t>
      </w:r>
    </w:p>
    <w:p>
      <w:pPr>
        <w:spacing w:after="0" w:line="188" w:lineRule="exact"/>
        <w:rPr>
          <w:rFonts w:ascii="Times New Roman" w:cs="Times New Roman" w:eastAsia="Times New Roman" w:hAnsi="Times New Roman"/>
          <w:sz w:val="18"/>
          <w:szCs w:val="18"/>
          <w:color w:val="auto"/>
        </w:rPr>
      </w:pPr>
    </w:p>
    <w:p>
      <w:pPr>
        <w:ind w:right="60" w:firstLine="436"/>
        <w:spacing w:after="0" w:line="258" w:lineRule="auto"/>
        <w:tabs>
          <w:tab w:leader="none" w:pos="685" w:val="left"/>
        </w:tabs>
        <w:numPr>
          <w:ilvl w:val="0"/>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Anything in this Section 4.04 to the contrary notwithstanding, the Company may, at any time, for the purpose of obtaining a satisfaction and discharge of this Indenture, or for any other reason, pay, cause to be paid or deliver to the Trustee all sums or amounts held in trust by the Company or any Paying Agent hereunder as required by this Section 4.04, such sums or amounts to be held by the Trustee upon the trusts herein contained and upon such payment or delivery by the Company or any Paying Agent to the Trustee, the Company or such Paying Agent shall be released from all further liability but only with respect to such sums or amounts.</w:t>
      </w:r>
    </w:p>
    <w:p>
      <w:pPr>
        <w:spacing w:after="0" w:line="183" w:lineRule="exact"/>
        <w:rPr>
          <w:rFonts w:ascii="Times New Roman" w:cs="Times New Roman" w:eastAsia="Times New Roman" w:hAnsi="Times New Roman"/>
          <w:sz w:val="18"/>
          <w:szCs w:val="18"/>
          <w:color w:val="auto"/>
        </w:rPr>
      </w:pPr>
    </w:p>
    <w:p>
      <w:pPr>
        <w:ind w:right="200" w:firstLine="436"/>
        <w:spacing w:after="0" w:line="261" w:lineRule="auto"/>
        <w:tabs>
          <w:tab w:leader="none" w:pos="695" w:val="left"/>
        </w:tabs>
        <w:numPr>
          <w:ilvl w:val="0"/>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money and shares of Common Stock deposited with the Trustee, the Conversion Agent, or any Paying Agent, or then held by the Company, in trust for the payment of the principal (including the Redemption Price, the Repurchase Price and the Fundamental Change Repurchase Price, if applicable) of, accrued and unpaid interest on and the consideration due upon conversion of any Note and remaining unclaimed for two years after such principal</w:t>
      </w:r>
    </w:p>
    <w:p>
      <w:pPr>
        <w:spacing w:after="0" w:line="112"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28</w:t>
      </w:r>
    </w:p>
    <w:p>
      <w:pPr>
        <w:sectPr>
          <w:pgSz w:w="11900" w:h="16838" w:orient="portrait"/>
          <w:cols w:equalWidth="0" w:num="1">
            <w:col w:w="10980"/>
          </w:cols>
          <w:pgMar w:left="440" w:top="270" w:right="479" w:bottom="1440" w:gutter="0" w:footer="0" w:header="0"/>
        </w:sectPr>
      </w:pPr>
    </w:p>
    <w:bookmarkStart w:id="39" w:name="page40"/>
    <w:bookmarkEnd w:id="39"/>
    <w:p>
      <w:pPr>
        <w:ind w:right="20"/>
        <w:spacing w:after="0" w:line="253"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(including the Redemption Price, the Repurchase Price and the Fundamental Change Repurchase Price, if applicable), interest or consideration due upon conversion has become due and payable shall be paid to the Company on request of the Company contained in an Officer’s Certificate, or (if then held by the Company) shall be discharged from such trust and the Trustee shall have no further liability with respect to such funds; and the Holder of such Note shall thereafter, as an unsecured general creditor, look only to the Company for payment thereof, and all liability of the Trustee, the Conversion Agent or such Paying Agent with respect to such trust money and shares of Common Stock, and all liability of the Company as trustee thereof, shall thereupon cease;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the Trustee, the Conversion Agent or such Paying Agent, before being required to make any such repayment, may at the expense of the Company cause to be published once, in a newspaper published in the English language, customarily published on each Business Day and of general circulation in The Borough of Manhattan, The City of New York, notice that such money and shares of Common Stock remain unclaimed and that, after a date specified therein, which shall not be less than 30 days from the date of such publication, any unclaimed balance of such money and shares of Common Stock then remaining will be repaid or delivered to the Company.</w:t>
      </w:r>
    </w:p>
    <w:p>
      <w:pPr>
        <w:spacing w:after="0" w:line="192" w:lineRule="exact"/>
        <w:rPr>
          <w:sz w:val="20"/>
          <w:szCs w:val="20"/>
          <w:color w:val="auto"/>
        </w:rPr>
      </w:pPr>
    </w:p>
    <w:p>
      <w:pPr>
        <w:ind w:right="20" w:firstLine="440"/>
        <w:spacing w:after="0" w:line="284" w:lineRule="auto"/>
        <w:rPr>
          <w:sz w:val="20"/>
          <w:szCs w:val="20"/>
          <w:color w:val="auto"/>
        </w:rPr>
      </w:pPr>
      <w:r>
        <w:rPr>
          <w:rFonts w:ascii="Times New Roman" w:cs="Times New Roman" w:eastAsia="Times New Roman" w:hAnsi="Times New Roman"/>
          <w:sz w:val="18"/>
          <w:szCs w:val="18"/>
          <w:color w:val="auto"/>
        </w:rPr>
        <w:t>Section 4.05</w:t>
      </w:r>
      <w:r>
        <w:rPr>
          <w:rFonts w:ascii="Times New Roman" w:cs="Times New Roman" w:eastAsia="Times New Roman" w:hAnsi="Times New Roman"/>
          <w:sz w:val="18"/>
          <w:szCs w:val="18"/>
          <w:i w:val="1"/>
          <w:iCs w:val="1"/>
          <w:color w:val="auto"/>
        </w:rPr>
        <w:t>. Existence.</w:t>
      </w:r>
      <w:r>
        <w:rPr>
          <w:rFonts w:ascii="Times New Roman" w:cs="Times New Roman" w:eastAsia="Times New Roman" w:hAnsi="Times New Roman"/>
          <w:sz w:val="18"/>
          <w:szCs w:val="18"/>
          <w:color w:val="auto"/>
        </w:rPr>
        <w:t xml:space="preserve"> Subject to Article 11, the Company shall do or cause to be done all things necessary to preserve and keep in full force and effect its corporate existence.</w:t>
      </w:r>
    </w:p>
    <w:p>
      <w:pPr>
        <w:spacing w:after="0" w:line="158" w:lineRule="exact"/>
        <w:rPr>
          <w:sz w:val="20"/>
          <w:szCs w:val="20"/>
          <w:color w:val="auto"/>
        </w:rPr>
      </w:pPr>
    </w:p>
    <w:p>
      <w:pPr>
        <w:ind w:right="60" w:firstLine="440"/>
        <w:spacing w:after="0" w:line="255" w:lineRule="auto"/>
        <w:rPr>
          <w:sz w:val="20"/>
          <w:szCs w:val="20"/>
          <w:color w:val="auto"/>
        </w:rPr>
      </w:pPr>
      <w:r>
        <w:rPr>
          <w:rFonts w:ascii="Times New Roman" w:cs="Times New Roman" w:eastAsia="Times New Roman" w:hAnsi="Times New Roman"/>
          <w:sz w:val="18"/>
          <w:szCs w:val="18"/>
          <w:color w:val="auto"/>
        </w:rPr>
        <w:t>Section 4.06</w:t>
      </w:r>
      <w:r>
        <w:rPr>
          <w:rFonts w:ascii="Times New Roman" w:cs="Times New Roman" w:eastAsia="Times New Roman" w:hAnsi="Times New Roman"/>
          <w:sz w:val="18"/>
          <w:szCs w:val="18"/>
          <w:i w:val="1"/>
          <w:iCs w:val="1"/>
          <w:color w:val="auto"/>
        </w:rPr>
        <w:t>. Rule 144A Information Requirement and Annual Reports.</w:t>
      </w:r>
      <w:r>
        <w:rPr>
          <w:rFonts w:ascii="Times New Roman" w:cs="Times New Roman" w:eastAsia="Times New Roman" w:hAnsi="Times New Roman"/>
          <w:sz w:val="18"/>
          <w:szCs w:val="18"/>
          <w:color w:val="auto"/>
        </w:rPr>
        <w:t xml:space="preserve"> (a) At any time the Company is not subject to Section 13 or 15(d) of the Exchange Act, the Company shall, so long as any of the Notes or any shares of Common Stock issuable upon conversion thereof shall, at such time, constitute “restricted securities” within the meaning of Rule 144(a)(3) under the Securities Act, promptly provide to the Trustee and, upon written request by a Holder, any Holder, beneficial owner or prospective purchaser of such Notes or any shares of Common Stock issuable upon conversion of such Notes, the information required to be delivered pursuant to Rule 144A(d)(4) under the Securities Act to facilitate the resale of such Notes or shares of Common Stock pursuant to Rule 144A. The Company shall take such further action as any Holder or beneficial owner of such Notes or such Common Stock may reasonably request to the extent from time to time required to enable such Holder or beneficial owner to sell such Notes or shares of Common Stock in accordance with Rule 144A, as such rule may be amended from time to time.</w:t>
      </w:r>
    </w:p>
    <w:p>
      <w:pPr>
        <w:spacing w:after="0" w:line="187" w:lineRule="exact"/>
        <w:rPr>
          <w:sz w:val="20"/>
          <w:szCs w:val="20"/>
          <w:color w:val="auto"/>
        </w:rPr>
      </w:pPr>
    </w:p>
    <w:p>
      <w:pPr>
        <w:ind w:firstLine="436"/>
        <w:spacing w:after="0" w:line="256" w:lineRule="auto"/>
        <w:tabs>
          <w:tab w:leader="none" w:pos="695" w:val="left"/>
        </w:tabs>
        <w:numPr>
          <w:ilvl w:val="0"/>
          <w:numId w:val="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shall file with the Trustee, within 15 days after the same are required to be filed with the Commission (giving effect to any grace period provided by Rule 12b-25 under the Exchange Act and other relief granted by the Commission), copies of any documents or reports that the Company is required to file with the Commission pursuant to Section 13 or 15(d) of the Exchange Act (excluding any information, documents or reports, or portions thereof, subject to confidential treatment and any correspondence with the Commission). Any such document or report that the Company files with the Commission via the Commission’s EDGAR system (or any successor system thereto) shall be deemed to be filed with the Trustee and the Holders for purposes of this Section 4.06(b) at the time such documents are filed via the EDGAR system (or each such successor).</w:t>
      </w:r>
    </w:p>
    <w:p>
      <w:pPr>
        <w:spacing w:after="0" w:line="12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29</w:t>
      </w:r>
    </w:p>
    <w:p>
      <w:pPr>
        <w:sectPr>
          <w:pgSz w:w="11900" w:h="16838" w:orient="portrait"/>
          <w:cols w:equalWidth="0" w:num="1">
            <w:col w:w="11000"/>
          </w:cols>
          <w:pgMar w:left="440" w:top="270" w:right="459" w:bottom="1440" w:gutter="0" w:footer="0" w:header="0"/>
        </w:sectPr>
      </w:pPr>
    </w:p>
    <w:bookmarkStart w:id="40" w:name="page41"/>
    <w:bookmarkEnd w:id="40"/>
    <w:p>
      <w:pPr>
        <w:ind w:right="280" w:firstLine="436"/>
        <w:spacing w:after="0" w:line="261" w:lineRule="auto"/>
        <w:tabs>
          <w:tab w:leader="none" w:pos="685"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Delivery of the reports and documents described in subsection (b) above to the Trustee is for informational purposes only, and the Trustee’s receipt of such shall not constitute constructive notice of any information contained therein or determinable from information contained therein, including the Company’s compliance with any of its covenants hereunder (as to which the Trustee is entitled to conclusively rely on an Officer’s Certificate).</w:t>
      </w:r>
    </w:p>
    <w:p>
      <w:pPr>
        <w:spacing w:after="0" w:line="179" w:lineRule="exact"/>
        <w:rPr>
          <w:rFonts w:ascii="Times New Roman" w:cs="Times New Roman" w:eastAsia="Times New Roman" w:hAnsi="Times New Roman"/>
          <w:sz w:val="18"/>
          <w:szCs w:val="18"/>
          <w:color w:val="auto"/>
        </w:rPr>
      </w:pPr>
    </w:p>
    <w:p>
      <w:pPr>
        <w:ind w:firstLine="436"/>
        <w:spacing w:after="0" w:line="253" w:lineRule="auto"/>
        <w:tabs>
          <w:tab w:leader="none" w:pos="695"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at any time during the six-month period beginning on, and including, the date that is six months after the last date of original issuance of the Notes (including any Notes issued pursuant to the Initial Purchasers’ option to purchase additional Notes under the Purchase Agreement), the Company fails to timely file any document or report that it is required to file with the Commission pursuant to Section 13 or 15(d) of the Exchange Act, as applicable (after giving effect to all applicable grace periods thereunder and other than current reports on Form 8-K), or the Notes are not otherwise freely tradable pursuant to Rule 144 by Holders other than the Company’s Affiliates or Holders that were the Company’s Affiliates at any time during the three months immediately preceding (as a result of restrictions pursuant to U.S. securities laws or the terms of this Indenture or the Notes), the Company shall pay Additional Interest on the Notes. Such Additional Interest shall accrue on the Notes at the rate equal to 0.25% per annum of the principal amount of the Notes outstanding for each day during such period for which the Company’s failure to file has occurred and is continuing or the Notes are not otherwise freely tradable pursuant to Rule 144 by Holders other than the Company’s Affiliates (or Holders that were the Company’s Affiliates at any time during the three months immediately preceding) without restrictions pursuant to U.S. securities laws or the terms of this Indenture or the Notes. As used in this Section 4.06(d), documents or reports that the Company is required to “file” with the Commission pursuant to Section 13 or 15(d) of the Exchange Act do not include documents or reports that the Company furnishes to the Commission pursuant to Section 13 or 15(d) of the Exchange Act.</w:t>
      </w:r>
    </w:p>
    <w:p>
      <w:pPr>
        <w:spacing w:after="0" w:line="187" w:lineRule="exact"/>
        <w:rPr>
          <w:rFonts w:ascii="Times New Roman" w:cs="Times New Roman" w:eastAsia="Times New Roman" w:hAnsi="Times New Roman"/>
          <w:sz w:val="18"/>
          <w:szCs w:val="18"/>
          <w:color w:val="auto"/>
        </w:rPr>
      </w:pPr>
    </w:p>
    <w:p>
      <w:pPr>
        <w:ind w:right="80" w:firstLine="436"/>
        <w:spacing w:after="0" w:line="254" w:lineRule="auto"/>
        <w:tabs>
          <w:tab w:leader="none" w:pos="685"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and for so long as, the restrictive legend on the Notes specified in Section 2.05(c) has not been removed, the Notes are assigned a restricted CUSIP number or the Notes are not otherwise freely tradable pursuant to Rule 144 by Holders other than the Company’s Affiliates or Holders that were the Company’s Affiliates at any time during the three months immediately preceding (without restrictions pursuant to U.S. securities laws or the terms of this Indenture or the Notes) as of the 380th day after the last date of original issuance of the Notes, the Company shall pay Additional Interest on the Notes at a rate equal to 0.50% per annum of the principal amount of Notes outstanding for each day from, and including, such 380th day until the restrictive legend on the Notes has been removed in accordance with Section 2.05(c), the Notes are assigned an unrestricted CUSIP number and the Notes are freely tradable pursuant to Rule 144 by Holders other than the Company’s Affiliates (or Holders that were the Company’s Affiliates at any time during the three months immediately preceding) without restrictions pursuant to U.S. securities laws or the terms of this Indenture or the Notes.</w:t>
      </w:r>
    </w:p>
    <w:p>
      <w:pPr>
        <w:spacing w:after="0" w:line="191" w:lineRule="exact"/>
        <w:rPr>
          <w:rFonts w:ascii="Times New Roman" w:cs="Times New Roman" w:eastAsia="Times New Roman" w:hAnsi="Times New Roman"/>
          <w:sz w:val="18"/>
          <w:szCs w:val="18"/>
          <w:color w:val="auto"/>
        </w:rPr>
      </w:pPr>
    </w:p>
    <w:p>
      <w:pPr>
        <w:ind w:left="660" w:hanging="224"/>
        <w:spacing w:after="0"/>
        <w:tabs>
          <w:tab w:leader="none" w:pos="66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Additional Interest will be payable in arrears on each Interest Payment Date following accrual in the same manner as regular interest on the</w:t>
      </w:r>
    </w:p>
    <w:p>
      <w:pPr>
        <w:spacing w:after="0" w:line="27" w:lineRule="exact"/>
        <w:rPr>
          <w:rFonts w:ascii="Times New Roman" w:cs="Times New Roman" w:eastAsia="Times New Roman" w:hAnsi="Times New Roman"/>
          <w:sz w:val="18"/>
          <w:szCs w:val="18"/>
          <w:color w:val="auto"/>
        </w:rPr>
      </w:pPr>
    </w:p>
    <w:p>
      <w:pPr>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Notes.</w:t>
      </w:r>
    </w:p>
    <w:p>
      <w:pPr>
        <w:spacing w:after="0" w:line="139"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30</w:t>
      </w:r>
    </w:p>
    <w:p>
      <w:pPr>
        <w:sectPr>
          <w:pgSz w:w="11900" w:h="16838" w:orient="portrait"/>
          <w:cols w:equalWidth="0" w:num="1">
            <w:col w:w="11000"/>
          </w:cols>
          <w:pgMar w:left="440" w:top="270" w:right="459" w:bottom="1440" w:gutter="0" w:footer="0" w:header="0"/>
        </w:sectPr>
      </w:pPr>
    </w:p>
    <w:bookmarkStart w:id="41" w:name="page42"/>
    <w:bookmarkEnd w:id="41"/>
    <w:p>
      <w:pPr>
        <w:ind w:firstLine="436"/>
        <w:spacing w:after="0" w:line="258" w:lineRule="auto"/>
        <w:tabs>
          <w:tab w:leader="none" w:pos="695" w:val="left"/>
        </w:tabs>
        <w:numPr>
          <w:ilvl w:val="0"/>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The Additional Interest that is payable in accordance with Section 4.06(d) or Section 4.06(e) shall be in addition to, and not in lieu of, any Additional Interest that may be payable as a result of the Company’s election pursuant to Section 6.03;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in no event shall any Additional Interest payable in accordance with Section 4.06(d) as a result of the Company’s failure to timely file any document or report as set forth therein, when taken together with that of any Additional Interest payable at the Company’s election pursuant to Section 6.03, accrue at a rate in excess of 0.50% per annum on any Notes, regardless of the number of events or circumstances giving rise to the requirement to pay such Additional Interest.</w:t>
      </w:r>
    </w:p>
    <w:p>
      <w:pPr>
        <w:spacing w:after="0" w:line="183" w:lineRule="exact"/>
        <w:rPr>
          <w:rFonts w:ascii="Times New Roman" w:cs="Times New Roman" w:eastAsia="Times New Roman" w:hAnsi="Times New Roman"/>
          <w:sz w:val="18"/>
          <w:szCs w:val="18"/>
          <w:color w:val="auto"/>
        </w:rPr>
      </w:pPr>
    </w:p>
    <w:p>
      <w:pPr>
        <w:ind w:right="100" w:firstLine="436"/>
        <w:spacing w:after="0" w:line="258" w:lineRule="auto"/>
        <w:tabs>
          <w:tab w:leader="none" w:pos="695" w:val="left"/>
        </w:tabs>
        <w:numPr>
          <w:ilvl w:val="0"/>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Additional Interest is payable by the Company pursuant to Section 4.06(d) or Section 4.06(e), the Company shall deliver to the Trustee an Officer’s Certificate to that effect stating (i) the amount of such Additional Interest that is payable and (ii) the date on which such Additional Interest is payable. Unless and until a Responsible Officer of the Trustee receives at the Corporate Trust Office such a certificate, the Trustee may assume without inquiry that no such Additional Interest is payable. If the Company has paid Additional Interest directly to the Persons entitled to it, the Company shall deliver to the Trustee an Officer’s Certificate setting forth the particulars of such payment.</w:t>
      </w:r>
    </w:p>
    <w:p>
      <w:pPr>
        <w:spacing w:after="0" w:line="181" w:lineRule="exact"/>
        <w:rPr>
          <w:sz w:val="20"/>
          <w:szCs w:val="20"/>
          <w:color w:val="auto"/>
        </w:rPr>
      </w:pPr>
    </w:p>
    <w:p>
      <w:pPr>
        <w:ind w:right="40" w:firstLine="440"/>
        <w:spacing w:after="0" w:line="256" w:lineRule="auto"/>
        <w:rPr>
          <w:sz w:val="20"/>
          <w:szCs w:val="20"/>
          <w:color w:val="auto"/>
        </w:rPr>
      </w:pPr>
      <w:r>
        <w:rPr>
          <w:rFonts w:ascii="Times New Roman" w:cs="Times New Roman" w:eastAsia="Times New Roman" w:hAnsi="Times New Roman"/>
          <w:sz w:val="18"/>
          <w:szCs w:val="18"/>
          <w:color w:val="auto"/>
        </w:rPr>
        <w:t>Section 4.07</w:t>
      </w:r>
      <w:r>
        <w:rPr>
          <w:rFonts w:ascii="Times New Roman" w:cs="Times New Roman" w:eastAsia="Times New Roman" w:hAnsi="Times New Roman"/>
          <w:sz w:val="18"/>
          <w:szCs w:val="18"/>
          <w:i w:val="1"/>
          <w:iCs w:val="1"/>
          <w:color w:val="auto"/>
        </w:rPr>
        <w:t>. Stay, Extension and Usury Laws.</w:t>
      </w:r>
      <w:r>
        <w:rPr>
          <w:rFonts w:ascii="Times New Roman" w:cs="Times New Roman" w:eastAsia="Times New Roman" w:hAnsi="Times New Roman"/>
          <w:sz w:val="18"/>
          <w:szCs w:val="18"/>
          <w:color w:val="auto"/>
        </w:rPr>
        <w:t xml:space="preserve"> The Company covenants (to the extent that it may lawfully do so) that it shall not at any time insist upon, plead, or in any manner whatsoever claim or take the benefit or advantage of, any stay, extension or usury law or other law that would prohibit or forgive the Company from paying all or any portion of the principal of or interest on the Notes as contemplated herein, wherever enacted, now or at any time hereafter in force, or that may affect the covenants or the performance of this Indenture; and the Company (to the extent it may lawfully do so) hereby expressly waives all benefit or advantage of any such law, and covenants that it will not, by resort to any such law, hinder, delay or impede the execution of any power herein granted to the Trustee, but will suffer and permit the execution of every such power as though no such law had been enacted.</w:t>
      </w:r>
    </w:p>
    <w:p>
      <w:pPr>
        <w:spacing w:after="0" w:line="183" w:lineRule="exact"/>
        <w:rPr>
          <w:sz w:val="20"/>
          <w:szCs w:val="20"/>
          <w:color w:val="auto"/>
        </w:rPr>
      </w:pPr>
    </w:p>
    <w:p>
      <w:pPr>
        <w:ind w:right="180" w:firstLine="440"/>
        <w:spacing w:after="0" w:line="267" w:lineRule="auto"/>
        <w:rPr>
          <w:sz w:val="20"/>
          <w:szCs w:val="20"/>
          <w:color w:val="auto"/>
        </w:rPr>
      </w:pPr>
      <w:r>
        <w:rPr>
          <w:rFonts w:ascii="Times New Roman" w:cs="Times New Roman" w:eastAsia="Times New Roman" w:hAnsi="Times New Roman"/>
          <w:sz w:val="18"/>
          <w:szCs w:val="18"/>
          <w:color w:val="auto"/>
        </w:rPr>
        <w:t>Section 4.08</w:t>
      </w:r>
      <w:r>
        <w:rPr>
          <w:rFonts w:ascii="Times New Roman" w:cs="Times New Roman" w:eastAsia="Times New Roman" w:hAnsi="Times New Roman"/>
          <w:sz w:val="18"/>
          <w:szCs w:val="18"/>
          <w:i w:val="1"/>
          <w:iCs w:val="1"/>
          <w:color w:val="auto"/>
        </w:rPr>
        <w:t>. Compliance Certificate; Statements as to Defaults.</w:t>
      </w:r>
      <w:r>
        <w:rPr>
          <w:rFonts w:ascii="Times New Roman" w:cs="Times New Roman" w:eastAsia="Times New Roman" w:hAnsi="Times New Roman"/>
          <w:sz w:val="18"/>
          <w:szCs w:val="18"/>
          <w:color w:val="auto"/>
        </w:rPr>
        <w:t xml:space="preserve"> The Company shall deliver to the Trustee within 120 days after the end of each fiscal year of the Company (beginning with the fiscal year ending on December 31, 2024) an Officer’s Certificate stating whether the signers thereof have knowledge of any Default that has occurred and, if so, specifying each such Default and the nature thereof.</w:t>
      </w:r>
    </w:p>
    <w:p>
      <w:pPr>
        <w:spacing w:after="0" w:line="175" w:lineRule="exact"/>
        <w:rPr>
          <w:sz w:val="20"/>
          <w:szCs w:val="20"/>
          <w:color w:val="auto"/>
        </w:rPr>
      </w:pPr>
    </w:p>
    <w:p>
      <w:pPr>
        <w:ind w:right="180" w:firstLine="440"/>
        <w:spacing w:after="0" w:line="261" w:lineRule="auto"/>
        <w:rPr>
          <w:sz w:val="20"/>
          <w:szCs w:val="20"/>
          <w:color w:val="auto"/>
        </w:rPr>
      </w:pPr>
      <w:r>
        <w:rPr>
          <w:rFonts w:ascii="Times New Roman" w:cs="Times New Roman" w:eastAsia="Times New Roman" w:hAnsi="Times New Roman"/>
          <w:sz w:val="18"/>
          <w:szCs w:val="18"/>
          <w:color w:val="auto"/>
        </w:rPr>
        <w:t xml:space="preserve">In addition, the Company shall deliver to the Trustee, as soon as possible, and in any event within 30 days after the occurrence of any Event of Default or Default, an Officer’s Certificate setting forth the details of such Event of Default or Default, its status and the action that the Company is taking or proposing to take in respect thereof;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no such Officer’s Certificate shall be required if such Event of Default or Default has been cured or waived before the date the Company is required to deliver such Officer’s Certificate.</w:t>
      </w:r>
    </w:p>
    <w:p>
      <w:pPr>
        <w:spacing w:after="0" w:line="178" w:lineRule="exact"/>
        <w:rPr>
          <w:sz w:val="20"/>
          <w:szCs w:val="20"/>
          <w:color w:val="auto"/>
        </w:rPr>
      </w:pPr>
    </w:p>
    <w:p>
      <w:pPr>
        <w:ind w:right="60" w:firstLine="440"/>
        <w:spacing w:after="0" w:line="267" w:lineRule="auto"/>
        <w:rPr>
          <w:sz w:val="20"/>
          <w:szCs w:val="20"/>
          <w:color w:val="auto"/>
        </w:rPr>
      </w:pPr>
      <w:r>
        <w:rPr>
          <w:rFonts w:ascii="Times New Roman" w:cs="Times New Roman" w:eastAsia="Times New Roman" w:hAnsi="Times New Roman"/>
          <w:sz w:val="18"/>
          <w:szCs w:val="18"/>
          <w:color w:val="auto"/>
        </w:rPr>
        <w:t>Section 4.09</w:t>
      </w:r>
      <w:r>
        <w:rPr>
          <w:rFonts w:ascii="Times New Roman" w:cs="Times New Roman" w:eastAsia="Times New Roman" w:hAnsi="Times New Roman"/>
          <w:sz w:val="18"/>
          <w:szCs w:val="18"/>
          <w:i w:val="1"/>
          <w:iCs w:val="1"/>
          <w:color w:val="auto"/>
        </w:rPr>
        <w:t>. Further Instruments and Acts.</w:t>
      </w:r>
      <w:r>
        <w:rPr>
          <w:rFonts w:ascii="Times New Roman" w:cs="Times New Roman" w:eastAsia="Times New Roman" w:hAnsi="Times New Roman"/>
          <w:sz w:val="18"/>
          <w:szCs w:val="18"/>
          <w:color w:val="auto"/>
        </w:rPr>
        <w:t xml:space="preserve"> Upon request of the Trustee, the Paying Agent, or the Conversion Agent, the Company will execute and deliver such further instruments and do such further acts as may be reasonably necessary or proper to carry out more effectively the purposes of this Indenture.</w:t>
      </w:r>
    </w:p>
    <w:p>
      <w:pPr>
        <w:spacing w:after="0" w:line="1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31</w:t>
      </w:r>
    </w:p>
    <w:p>
      <w:pPr>
        <w:sectPr>
          <w:pgSz w:w="11900" w:h="16838" w:orient="portrait"/>
          <w:cols w:equalWidth="0" w:num="1">
            <w:col w:w="11000"/>
          </w:cols>
          <w:pgMar w:left="440" w:top="270" w:right="459" w:bottom="1440" w:gutter="0" w:footer="0" w:header="0"/>
        </w:sectPr>
      </w:pPr>
    </w:p>
    <w:bookmarkStart w:id="42" w:name="page43"/>
    <w:bookmarkEnd w:id="42"/>
    <w:p>
      <w:pPr>
        <w:jc w:val="center"/>
        <w:ind w:right="-39"/>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ARTICLE 5</w:t>
      </w:r>
    </w:p>
    <w:p>
      <w:pPr>
        <w:spacing w:after="0" w:line="27"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L</w:t>
      </w:r>
      <w:r>
        <w:rPr>
          <w:rFonts w:ascii="Times New Roman" w:cs="Times New Roman" w:eastAsia="Times New Roman" w:hAnsi="Times New Roman"/>
          <w:sz w:val="14"/>
          <w:szCs w:val="14"/>
          <w:color w:val="auto"/>
        </w:rPr>
        <w:t>ISTS OF</w:t>
      </w:r>
      <w:r>
        <w:rPr>
          <w:rFonts w:ascii="Times New Roman" w:cs="Times New Roman" w:eastAsia="Times New Roman" w:hAnsi="Times New Roman"/>
          <w:sz w:val="18"/>
          <w:szCs w:val="18"/>
          <w:color w:val="auto"/>
        </w:rPr>
        <w:t xml:space="preserve"> H</w:t>
      </w:r>
      <w:r>
        <w:rPr>
          <w:rFonts w:ascii="Times New Roman" w:cs="Times New Roman" w:eastAsia="Times New Roman" w:hAnsi="Times New Roman"/>
          <w:sz w:val="14"/>
          <w:szCs w:val="14"/>
          <w:color w:val="auto"/>
        </w:rPr>
        <w:t>OLDERS AND</w:t>
      </w:r>
      <w:r>
        <w:rPr>
          <w:rFonts w:ascii="Times New Roman" w:cs="Times New Roman" w:eastAsia="Times New Roman" w:hAnsi="Times New Roman"/>
          <w:sz w:val="18"/>
          <w:szCs w:val="18"/>
          <w:color w:val="auto"/>
        </w:rPr>
        <w:t xml:space="preserve"> R</w:t>
      </w:r>
      <w:r>
        <w:rPr>
          <w:rFonts w:ascii="Times New Roman" w:cs="Times New Roman" w:eastAsia="Times New Roman" w:hAnsi="Times New Roman"/>
          <w:sz w:val="14"/>
          <w:szCs w:val="14"/>
          <w:color w:val="auto"/>
        </w:rPr>
        <w:t>EPORTS BY THE</w:t>
      </w:r>
      <w:r>
        <w:rPr>
          <w:rFonts w:ascii="Times New Roman" w:cs="Times New Roman" w:eastAsia="Times New Roman" w:hAnsi="Times New Roman"/>
          <w:sz w:val="18"/>
          <w:szCs w:val="18"/>
          <w:color w:val="auto"/>
        </w:rPr>
        <w:t xml:space="preserve"> C</w:t>
      </w:r>
      <w:r>
        <w:rPr>
          <w:rFonts w:ascii="Times New Roman" w:cs="Times New Roman" w:eastAsia="Times New Roman" w:hAnsi="Times New Roman"/>
          <w:sz w:val="14"/>
          <w:szCs w:val="14"/>
          <w:color w:val="auto"/>
        </w:rPr>
        <w:t>OMPANY AND THE</w:t>
      </w:r>
      <w:r>
        <w:rPr>
          <w:rFonts w:ascii="Times New Roman" w:cs="Times New Roman" w:eastAsia="Times New Roman" w:hAnsi="Times New Roman"/>
          <w:sz w:val="18"/>
          <w:szCs w:val="18"/>
          <w:color w:val="auto"/>
        </w:rPr>
        <w:t xml:space="preserve"> T</w:t>
      </w:r>
      <w:r>
        <w:rPr>
          <w:rFonts w:ascii="Times New Roman" w:cs="Times New Roman" w:eastAsia="Times New Roman" w:hAnsi="Times New Roman"/>
          <w:sz w:val="14"/>
          <w:szCs w:val="14"/>
          <w:color w:val="auto"/>
        </w:rPr>
        <w:t>RUSTEE</w:t>
      </w:r>
    </w:p>
    <w:p>
      <w:pPr>
        <w:spacing w:after="0" w:line="205" w:lineRule="exact"/>
        <w:rPr>
          <w:sz w:val="20"/>
          <w:szCs w:val="20"/>
          <w:color w:val="auto"/>
        </w:rPr>
      </w:pPr>
    </w:p>
    <w:p>
      <w:pPr>
        <w:ind w:firstLine="440"/>
        <w:spacing w:after="0" w:line="257" w:lineRule="auto"/>
        <w:rPr>
          <w:sz w:val="20"/>
          <w:szCs w:val="20"/>
          <w:color w:val="auto"/>
        </w:rPr>
      </w:pPr>
      <w:r>
        <w:rPr>
          <w:rFonts w:ascii="Times New Roman" w:cs="Times New Roman" w:eastAsia="Times New Roman" w:hAnsi="Times New Roman"/>
          <w:sz w:val="18"/>
          <w:szCs w:val="18"/>
          <w:color w:val="auto"/>
        </w:rPr>
        <w:t xml:space="preserve">Section 5.01. </w:t>
      </w:r>
      <w:r>
        <w:rPr>
          <w:rFonts w:ascii="Times New Roman" w:cs="Times New Roman" w:eastAsia="Times New Roman" w:hAnsi="Times New Roman"/>
          <w:sz w:val="18"/>
          <w:szCs w:val="18"/>
          <w:i w:val="1"/>
          <w:iCs w:val="1"/>
          <w:color w:val="auto"/>
        </w:rPr>
        <w:t>Lists of Holders</w:t>
      </w:r>
      <w:r>
        <w:rPr>
          <w:rFonts w:ascii="Times New Roman" w:cs="Times New Roman" w:eastAsia="Times New Roman" w:hAnsi="Times New Roman"/>
          <w:sz w:val="18"/>
          <w:szCs w:val="18"/>
          <w:color w:val="auto"/>
        </w:rPr>
        <w:t>. The Company covenants and agrees that it will furnish or cause to be furnished to the Trustee, semi-annually, not more than 15 days after each June 1 and December 1 in each year beginning with December 1, 2024, and at such other times as the Trustee may request in writing, within 30 days after receipt by the Company of any such request (or such lesser time as the Trustee may reasonably request in order to enable it to timely provide any notice to be provided by it hereunder), a list in such form as the Trustee may reasonably require of the names and addresses of the Holders as of a date not more than 15 days (or such other date as the Trustee may reasonably request in order to so provide any such notices) prior to the time such information is furnished, except that no such list need be furnished so long as the Trustee is acting as Note Registrar.</w:t>
      </w:r>
    </w:p>
    <w:p>
      <w:pPr>
        <w:spacing w:after="0" w:line="182" w:lineRule="exact"/>
        <w:rPr>
          <w:sz w:val="20"/>
          <w:szCs w:val="20"/>
          <w:color w:val="auto"/>
        </w:rPr>
      </w:pPr>
    </w:p>
    <w:p>
      <w:pPr>
        <w:ind w:right="60" w:firstLine="440"/>
        <w:spacing w:after="0" w:line="261" w:lineRule="auto"/>
        <w:rPr>
          <w:sz w:val="20"/>
          <w:szCs w:val="20"/>
          <w:color w:val="auto"/>
        </w:rPr>
      </w:pPr>
      <w:r>
        <w:rPr>
          <w:rFonts w:ascii="Times New Roman" w:cs="Times New Roman" w:eastAsia="Times New Roman" w:hAnsi="Times New Roman"/>
          <w:sz w:val="18"/>
          <w:szCs w:val="18"/>
          <w:color w:val="auto"/>
        </w:rPr>
        <w:t xml:space="preserve">Section 5.02. </w:t>
      </w:r>
      <w:r>
        <w:rPr>
          <w:rFonts w:ascii="Times New Roman" w:cs="Times New Roman" w:eastAsia="Times New Roman" w:hAnsi="Times New Roman"/>
          <w:sz w:val="18"/>
          <w:szCs w:val="18"/>
          <w:i w:val="1"/>
          <w:iCs w:val="1"/>
          <w:color w:val="auto"/>
        </w:rPr>
        <w:t>Preservation and Disclosure of Lists</w:t>
      </w:r>
      <w:r>
        <w:rPr>
          <w:rFonts w:ascii="Times New Roman" w:cs="Times New Roman" w:eastAsia="Times New Roman" w:hAnsi="Times New Roman"/>
          <w:sz w:val="18"/>
          <w:szCs w:val="18"/>
          <w:color w:val="auto"/>
        </w:rPr>
        <w:t>. The Trustee shall preserve, in as current a form as is reasonably practicable, all information as to the names and addresses of the Holders contained in the most recent list furnished to it as provided in Section 5.01 or maintained by the Trustee in its capacity as Note Registrar, if so acting. The Trustee may destroy any list furnished to it as provided in Section 5.01 upon receipt of a new list so furnished.</w:t>
      </w:r>
    </w:p>
    <w:p>
      <w:pPr>
        <w:spacing w:after="0" w:line="182"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ARTICLE 6</w:t>
      </w:r>
    </w:p>
    <w:p>
      <w:pPr>
        <w:spacing w:after="0" w:line="27"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D</w:t>
      </w:r>
      <w:r>
        <w:rPr>
          <w:rFonts w:ascii="Times New Roman" w:cs="Times New Roman" w:eastAsia="Times New Roman" w:hAnsi="Times New Roman"/>
          <w:sz w:val="14"/>
          <w:szCs w:val="14"/>
          <w:color w:val="auto"/>
        </w:rPr>
        <w:t>EFAULTS AND</w:t>
      </w:r>
      <w:r>
        <w:rPr>
          <w:rFonts w:ascii="Times New Roman" w:cs="Times New Roman" w:eastAsia="Times New Roman" w:hAnsi="Times New Roman"/>
          <w:sz w:val="18"/>
          <w:szCs w:val="18"/>
          <w:color w:val="auto"/>
        </w:rPr>
        <w:t xml:space="preserve"> R</w:t>
      </w:r>
      <w:r>
        <w:rPr>
          <w:rFonts w:ascii="Times New Roman" w:cs="Times New Roman" w:eastAsia="Times New Roman" w:hAnsi="Times New Roman"/>
          <w:sz w:val="14"/>
          <w:szCs w:val="14"/>
          <w:color w:val="auto"/>
        </w:rPr>
        <w:t>EMEDIES</w:t>
      </w:r>
    </w:p>
    <w:p>
      <w:pPr>
        <w:spacing w:after="0" w:line="20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 xml:space="preserve">Section 6.01. </w:t>
      </w:r>
      <w:r>
        <w:rPr>
          <w:rFonts w:ascii="Times New Roman" w:cs="Times New Roman" w:eastAsia="Times New Roman" w:hAnsi="Times New Roman"/>
          <w:sz w:val="18"/>
          <w:szCs w:val="18"/>
          <w:i w:val="1"/>
          <w:iCs w:val="1"/>
          <w:color w:val="auto"/>
        </w:rPr>
        <w:t>Events of Default</w:t>
      </w:r>
      <w:r>
        <w:rPr>
          <w:rFonts w:ascii="Times New Roman" w:cs="Times New Roman" w:eastAsia="Times New Roman" w:hAnsi="Times New Roman"/>
          <w:sz w:val="18"/>
          <w:szCs w:val="18"/>
          <w:color w:val="auto"/>
        </w:rPr>
        <w:t>. Each of the following events shall be an “Event of Default” with respect to the Notes:</w:t>
      </w:r>
    </w:p>
    <w:p>
      <w:pPr>
        <w:spacing w:after="0" w:line="227" w:lineRule="exact"/>
        <w:rPr>
          <w:sz w:val="20"/>
          <w:szCs w:val="20"/>
          <w:color w:val="auto"/>
        </w:rPr>
      </w:pPr>
    </w:p>
    <w:p>
      <w:pPr>
        <w:ind w:left="680" w:hanging="244"/>
        <w:spacing w:after="0"/>
        <w:tabs>
          <w:tab w:leader="none" w:pos="680" w:val="left"/>
        </w:tabs>
        <w:numPr>
          <w:ilvl w:val="0"/>
          <w:numId w:val="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default in any payment of interest on any Note when due and payable, and the default continues for a period of 30 days;</w:t>
      </w:r>
    </w:p>
    <w:p>
      <w:pPr>
        <w:spacing w:after="0" w:line="225" w:lineRule="exact"/>
        <w:rPr>
          <w:rFonts w:ascii="Times New Roman" w:cs="Times New Roman" w:eastAsia="Times New Roman" w:hAnsi="Times New Roman"/>
          <w:sz w:val="18"/>
          <w:szCs w:val="18"/>
          <w:color w:val="auto"/>
        </w:rPr>
      </w:pPr>
    </w:p>
    <w:p>
      <w:pPr>
        <w:ind w:right="260" w:firstLine="436"/>
        <w:spacing w:after="0" w:line="282" w:lineRule="auto"/>
        <w:tabs>
          <w:tab w:leader="none" w:pos="695" w:val="left"/>
        </w:tabs>
        <w:numPr>
          <w:ilvl w:val="0"/>
          <w:numId w:val="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default in the payment of principal of any Note when due and payable on the Maturity Date, upon Optional Redemption, upon any required repurchase, upon declaration of acceleration or otherwise;</w:t>
      </w:r>
    </w:p>
    <w:p>
      <w:pPr>
        <w:spacing w:after="0" w:line="161" w:lineRule="exact"/>
        <w:rPr>
          <w:rFonts w:ascii="Times New Roman" w:cs="Times New Roman" w:eastAsia="Times New Roman" w:hAnsi="Times New Roman"/>
          <w:sz w:val="18"/>
          <w:szCs w:val="18"/>
          <w:color w:val="auto"/>
        </w:rPr>
      </w:pPr>
    </w:p>
    <w:p>
      <w:pPr>
        <w:ind w:right="500" w:firstLine="436"/>
        <w:spacing w:after="0" w:line="282" w:lineRule="auto"/>
        <w:tabs>
          <w:tab w:leader="none" w:pos="685" w:val="left"/>
        </w:tabs>
        <w:numPr>
          <w:ilvl w:val="0"/>
          <w:numId w:val="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failure by the Company to comply with its obligation to convert the Notes in accordance with this Indenture upon exercise of a Holder’s conversion right and such failure continues for a period of five Business Days;</w:t>
      </w:r>
    </w:p>
    <w:p>
      <w:pPr>
        <w:spacing w:after="0" w:line="161" w:lineRule="exact"/>
        <w:rPr>
          <w:rFonts w:ascii="Times New Roman" w:cs="Times New Roman" w:eastAsia="Times New Roman" w:hAnsi="Times New Roman"/>
          <w:sz w:val="18"/>
          <w:szCs w:val="18"/>
          <w:color w:val="auto"/>
        </w:rPr>
      </w:pPr>
    </w:p>
    <w:p>
      <w:pPr>
        <w:ind w:right="220" w:firstLine="436"/>
        <w:spacing w:after="0" w:line="266" w:lineRule="auto"/>
        <w:tabs>
          <w:tab w:leader="none" w:pos="695" w:val="left"/>
        </w:tabs>
        <w:numPr>
          <w:ilvl w:val="0"/>
          <w:numId w:val="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failure by the Company to issue a Fundamental Change Company Notice in accordance with Section 15.02(c), notice of a Make-Whole Fundamental Change in accordance with Section 14.03(b) or notice of a specified corporate event in accordance with Section 14.01(b)(ii) or 14.01(b) (iii), and, in each case, such failure continues for three days;</w:t>
      </w:r>
    </w:p>
    <w:p>
      <w:pPr>
        <w:spacing w:after="0" w:line="175" w:lineRule="exact"/>
        <w:rPr>
          <w:rFonts w:ascii="Times New Roman" w:cs="Times New Roman" w:eastAsia="Times New Roman" w:hAnsi="Times New Roman"/>
          <w:sz w:val="18"/>
          <w:szCs w:val="18"/>
          <w:color w:val="auto"/>
        </w:rPr>
      </w:pPr>
    </w:p>
    <w:p>
      <w:pPr>
        <w:ind w:left="680" w:hanging="244"/>
        <w:spacing w:after="0"/>
        <w:tabs>
          <w:tab w:leader="none" w:pos="680" w:val="left"/>
        </w:tabs>
        <w:numPr>
          <w:ilvl w:val="0"/>
          <w:numId w:val="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failure by the Company to comply with its obligations under Article 11;</w:t>
      </w:r>
    </w:p>
    <w:p>
      <w:pPr>
        <w:spacing w:after="0" w:line="225" w:lineRule="exact"/>
        <w:rPr>
          <w:rFonts w:ascii="Times New Roman" w:cs="Times New Roman" w:eastAsia="Times New Roman" w:hAnsi="Times New Roman"/>
          <w:sz w:val="18"/>
          <w:szCs w:val="18"/>
          <w:color w:val="auto"/>
        </w:rPr>
      </w:pPr>
    </w:p>
    <w:p>
      <w:pPr>
        <w:ind w:right="180" w:firstLine="436"/>
        <w:spacing w:after="0" w:line="312" w:lineRule="auto"/>
        <w:tabs>
          <w:tab w:leader="none" w:pos="665" w:val="left"/>
        </w:tabs>
        <w:numPr>
          <w:ilvl w:val="0"/>
          <w:numId w:val="23"/>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failure by the Company for 60 days after written notice from the Trustee or the Holders of at least 25% in principal amount of the Notes then outstanding has been received by the Company and the Trustee to comply with any of its other agreements contained in the Notes or this Indenture;</w:t>
      </w:r>
    </w:p>
    <w:p>
      <w:pPr>
        <w:spacing w:after="0" w:line="72"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32</w:t>
      </w:r>
    </w:p>
    <w:p>
      <w:pPr>
        <w:sectPr>
          <w:pgSz w:w="11900" w:h="16838" w:orient="portrait"/>
          <w:cols w:equalWidth="0" w:num="1">
            <w:col w:w="10980"/>
          </w:cols>
          <w:pgMar w:left="440" w:top="270" w:right="479" w:bottom="1440" w:gutter="0" w:footer="0" w:header="0"/>
        </w:sectPr>
      </w:pPr>
    </w:p>
    <w:bookmarkStart w:id="43" w:name="page44"/>
    <w:bookmarkEnd w:id="43"/>
    <w:p>
      <w:pPr>
        <w:ind w:right="20" w:firstLine="436"/>
        <w:spacing w:after="0" w:line="253" w:lineRule="auto"/>
        <w:tabs>
          <w:tab w:leader="none" w:pos="695"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default by the Company or any Significant Subsidiary of the Company with respect to any mortgage, agreement or other instrument under which there may be outstanding, or by which there may be secured or evidenced, any indebtedness for money borrowed in excess of $30,000,000 (or its foreign currency equivalent) in the aggregate of the Company and/or any such Significant Subsidiary, whether such indebtedness now exists or shall hereafter be created (i) resulting in such indebtedness becoming or being declared due and payable prior to its stated maturity or (ii) constituting a failure to pay the principal of any such debt when due and payable at its stated maturity, upon required repurchase, upon declaration of acceleration or otherwise, in each case after the expiration of any applicable grace period, if such acceleration shall not have been rescinded or annulled or such failure to pay or default is not cured or waived, or such acceleration is not rescinded within 30 days after written notice to the Company and the Trustee by either the Trustee or the Holders of at least 25% in aggregate principal amount of the Notes then outstanding determined in accordance with</w:t>
      </w:r>
    </w:p>
    <w:p>
      <w:pPr>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Section 8.04;</w:t>
      </w:r>
    </w:p>
    <w:p>
      <w:pPr>
        <w:spacing w:after="0" w:line="206" w:lineRule="exact"/>
        <w:rPr>
          <w:rFonts w:ascii="Times New Roman" w:cs="Times New Roman" w:eastAsia="Times New Roman" w:hAnsi="Times New Roman"/>
          <w:sz w:val="18"/>
          <w:szCs w:val="18"/>
          <w:color w:val="auto"/>
        </w:rPr>
      </w:pPr>
    </w:p>
    <w:p>
      <w:pPr>
        <w:ind w:firstLine="436"/>
        <w:spacing w:after="0" w:line="256" w:lineRule="auto"/>
        <w:tabs>
          <w:tab w:leader="none" w:pos="695"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or any Significant Subsidiary shall commence a voluntary case or other proceeding seeking liquidation, reorganization or other relief with respect to the Company or any such Significant Subsidiary or its debts under any bankruptcy, insolvency or other similar law now or hereafter in effect or seeking the appointment of a trustee, receiver, liquidator, custodian or other similar official of the Company or any such Significant Subsidiary or any substantial part of its property, or shall consent to any such relief or to the appointment of or taking possession by any such official in an involuntary case or other proceeding commenced against it, or shall make a general assignment for the benefit of creditors, or shall fail generally to pay its debts as they become due; or</w:t>
      </w:r>
    </w:p>
    <w:p>
      <w:pPr>
        <w:spacing w:after="0" w:line="187" w:lineRule="exact"/>
        <w:rPr>
          <w:rFonts w:ascii="Times New Roman" w:cs="Times New Roman" w:eastAsia="Times New Roman" w:hAnsi="Times New Roman"/>
          <w:sz w:val="18"/>
          <w:szCs w:val="18"/>
          <w:color w:val="auto"/>
        </w:rPr>
      </w:pPr>
    </w:p>
    <w:p>
      <w:pPr>
        <w:ind w:left="660" w:hanging="224"/>
        <w:spacing w:after="0"/>
        <w:tabs>
          <w:tab w:leader="none" w:pos="66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 involuntary case or other proceeding shall be commenced against the Company or any Significant Subsidiary seeking liquidation,</w:t>
      </w:r>
    </w:p>
    <w:p>
      <w:pPr>
        <w:spacing w:after="0" w:line="27" w:lineRule="exact"/>
        <w:rPr>
          <w:rFonts w:ascii="Times New Roman" w:cs="Times New Roman" w:eastAsia="Times New Roman" w:hAnsi="Times New Roman"/>
          <w:sz w:val="18"/>
          <w:szCs w:val="18"/>
          <w:color w:val="auto"/>
        </w:rPr>
      </w:pPr>
    </w:p>
    <w:p>
      <w:pPr>
        <w:ind w:right="80"/>
        <w:spacing w:after="0" w:line="253" w:lineRule="auto"/>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reorganization or other relief with respect to the Company or such Significant Subsidiary or its debts under any bankruptcy, insolvency or other similar law now or hereafter in effect or seeking the appointment of a trustee, receiver, liquidator, custodian or other similar official of the Company or such Significant Subsidiary or any substantial part of its property, and such involuntary case or other proceeding shall remain undismissed and unstayed for a period of 60 consecutive days.</w:t>
      </w:r>
    </w:p>
    <w:p>
      <w:pPr>
        <w:spacing w:after="0" w:line="187" w:lineRule="exact"/>
        <w:rPr>
          <w:sz w:val="20"/>
          <w:szCs w:val="20"/>
          <w:color w:val="auto"/>
        </w:rPr>
      </w:pPr>
    </w:p>
    <w:p>
      <w:pPr>
        <w:ind w:right="100" w:firstLine="440"/>
        <w:spacing w:after="0" w:line="256" w:lineRule="auto"/>
        <w:rPr>
          <w:sz w:val="20"/>
          <w:szCs w:val="20"/>
          <w:color w:val="auto"/>
        </w:rPr>
      </w:pPr>
      <w:r>
        <w:rPr>
          <w:rFonts w:ascii="Times New Roman" w:cs="Times New Roman" w:eastAsia="Times New Roman" w:hAnsi="Times New Roman"/>
          <w:sz w:val="18"/>
          <w:szCs w:val="18"/>
          <w:color w:val="auto"/>
        </w:rPr>
        <w:t xml:space="preserve">Section 6.02. </w:t>
      </w:r>
      <w:r>
        <w:rPr>
          <w:rFonts w:ascii="Times New Roman" w:cs="Times New Roman" w:eastAsia="Times New Roman" w:hAnsi="Times New Roman"/>
          <w:sz w:val="18"/>
          <w:szCs w:val="18"/>
          <w:i w:val="1"/>
          <w:iCs w:val="1"/>
          <w:color w:val="auto"/>
        </w:rPr>
        <w:t>Acceleration; Rescission and Annulment</w:t>
      </w:r>
      <w:r>
        <w:rPr>
          <w:rFonts w:ascii="Times New Roman" w:cs="Times New Roman" w:eastAsia="Times New Roman" w:hAnsi="Times New Roman"/>
          <w:sz w:val="18"/>
          <w:szCs w:val="18"/>
          <w:color w:val="auto"/>
        </w:rPr>
        <w:t>. If one or more Events of Default shall have occurred and be continuing (whatever the reason for such Event of Default and whether it shall be voluntary or involuntary or be effected by operation of law or pursuant to any judgment, decree or order of any court or any order, rule or regulation of any administrative or governmental body), then, and in each and every such case (other than an Event of Default specified in Section 6.01(h) or Section 6.01(i) with respect to the Company or any of its Significant Subsidiaries), unless the principal of all of the Notes shall have already become due and payable, either the Trustee or the Holders of at least 25% in aggregate principal amount of the Notes then outstanding determined in accordance with Section 8.04, by notice in writing to the Company (and to the Trustee if given by Holders), may (and the Trustee, at the written request of such Holders, shall) declare 100% of the principal of, and accrued and unpaid interest</w:t>
      </w:r>
    </w:p>
    <w:p>
      <w:pPr>
        <w:spacing w:after="0" w:line="11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33</w:t>
      </w:r>
    </w:p>
    <w:p>
      <w:pPr>
        <w:sectPr>
          <w:pgSz w:w="11900" w:h="16838" w:orient="portrait"/>
          <w:cols w:equalWidth="0" w:num="1">
            <w:col w:w="11020"/>
          </w:cols>
          <w:pgMar w:left="440" w:top="270" w:right="439" w:bottom="1440" w:gutter="0" w:footer="0" w:header="0"/>
        </w:sectPr>
      </w:pPr>
    </w:p>
    <w:bookmarkStart w:id="44" w:name="page45"/>
    <w:bookmarkEnd w:id="44"/>
    <w:p>
      <w:pPr>
        <w:ind w:left="4" w:right="14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3">
                      <a:extLst>
                        <a:ext uri="{28A0092B-C50C-407E-A947-70E740481C1C}"/>
                      </a:extLst>
                    </a:blip>
                    <a:srcRect/>
                    <a:stretch>
                      <a:fillRect/>
                    </a:stretch>
                  </pic:blipFill>
                  <pic:spPr bwMode="auto">
                    <a:xfrm>
                      <a:off x="0" y="0"/>
                      <a:ext cx="7174865" cy="38735"/>
                    </a:xfrm>
                    <a:prstGeom prst="rect">
                      <a:avLst/>
                    </a:prstGeom>
                    <a:noFill/>
                  </pic:spPr>
                </pic:pic>
              </a:graphicData>
            </a:graphic>
          </wp:anchor>
        </w:drawing>
        <w:t>on, all the Notes to be due and payable immediately, and upon any such declaration the same shall become and shall automatically be immediately due and payable, anything contained in this Indenture or in the Notes to the contrary notwithstanding. If an Event of Default specified in Section 6.01(h) or Section 6.01(i) with respect to the Company or any of its Significant Subsidiaries occurs and is continuing, 100% of the principal of, and accrued and unpaid interest, if any, on, all Notes shall become and shall automatically be immediately due and payable.</w:t>
      </w:r>
    </w:p>
    <w:p>
      <w:pPr>
        <w:spacing w:after="0" w:line="180" w:lineRule="exact"/>
        <w:rPr>
          <w:sz w:val="20"/>
          <w:szCs w:val="20"/>
          <w:color w:val="auto"/>
        </w:rPr>
      </w:pPr>
    </w:p>
    <w:p>
      <w:pPr>
        <w:ind w:left="4" w:firstLine="440"/>
        <w:spacing w:after="0" w:line="266" w:lineRule="auto"/>
        <w:rPr>
          <w:sz w:val="20"/>
          <w:szCs w:val="20"/>
          <w:color w:val="auto"/>
        </w:rPr>
      </w:pPr>
      <w:r>
        <w:rPr>
          <w:rFonts w:ascii="Times New Roman" w:cs="Times New Roman" w:eastAsia="Times New Roman" w:hAnsi="Times New Roman"/>
          <w:sz w:val="17"/>
          <w:szCs w:val="17"/>
          <w:color w:val="auto"/>
        </w:rPr>
        <w:t>The immediately preceding paragraph, however, is subject to the conditions that if, at any time after the principal of the Notes shall have been so declared due and payable, and before any judgment or decree for the payment of the monies due shall have been obtained or entered as hereinafter provided, the Company shall pay or shall deposit with the Trustee a sum sufficient to pay installments of accrued and unpaid interest upon all Notes and the principal of any and all Notes that shall have become due otherwise than by acceleration (with interest on overdue installments of accrued and unpaid interest to the extent that payment of such interest is enforceable under applicable law, and on such principal at the rate borne by the Notes at such time) and amounts due to the Trustee pursuant to Section 7.06, and if (1) rescission would not conflict with any judgment or decree of a court of competent jurisdiction and (2) any and all existing Events of Default under this Indenture, other than the nonpayment of the principal of and accrued and unpaid interest, if any, on Notes that shall have become due solely by such acceleration, shall have been cured or waived pursuant to Section 6.09, then and in every such case (except as provided in the immediately succeeding sentence) the Holders of a majority in aggregate principal amount of the Notes then outstanding, by written notice to the Company and to the Trustee, may waive all Defaults or Events of Default with respect to the Notes and rescind and annul such declaration and its consequences and such Default shall cease to exist, and any Event of Default arising therefrom shall be deemed to have been cured for every purpose of this Indenture; but no such waiver or rescission and annulment shall extend to or shall affect any subsequent Default or Event of Default, or shall impair any right consequent thereon. Notwithstanding anything to the contrary herein, no such waiver or rescission and annulment shall extend to or shall affect any Default or Event of Default resulting from (i) the nonpayment of the principal (including the Redemption Price, the Repurchase Price and the Fundamental Change Repurchase Price, if applicable) of, or accrued and unpaid interest on, any Notes,</w:t>
      </w:r>
    </w:p>
    <w:p>
      <w:pPr>
        <w:spacing w:after="0" w:line="8" w:lineRule="exact"/>
        <w:rPr>
          <w:sz w:val="20"/>
          <w:szCs w:val="20"/>
          <w:color w:val="auto"/>
        </w:rPr>
      </w:pPr>
    </w:p>
    <w:p>
      <w:pPr>
        <w:ind w:left="4" w:right="160" w:hanging="4"/>
        <w:spacing w:after="0" w:line="260" w:lineRule="auto"/>
        <w:tabs>
          <w:tab w:leader="none" w:pos="269" w:val="left"/>
        </w:tabs>
        <w:numPr>
          <w:ilvl w:val="0"/>
          <w:numId w:val="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failure to repurchase any Notes when required or (iii) a failure to pay or deliver, as the case may be, the consideration due upon conversion of the Notes.</w:t>
      </w:r>
    </w:p>
    <w:p>
      <w:pPr>
        <w:spacing w:after="0" w:line="179"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 xml:space="preserve">Section 6.03. </w:t>
      </w:r>
      <w:r>
        <w:rPr>
          <w:rFonts w:ascii="Times New Roman" w:cs="Times New Roman" w:eastAsia="Times New Roman" w:hAnsi="Times New Roman"/>
          <w:sz w:val="18"/>
          <w:szCs w:val="18"/>
          <w:i w:val="1"/>
          <w:iCs w:val="1"/>
          <w:color w:val="auto"/>
        </w:rPr>
        <w:t>Additional Interest</w:t>
      </w:r>
      <w:r>
        <w:rPr>
          <w:rFonts w:ascii="Times New Roman" w:cs="Times New Roman" w:eastAsia="Times New Roman" w:hAnsi="Times New Roman"/>
          <w:sz w:val="18"/>
          <w:szCs w:val="18"/>
          <w:color w:val="auto"/>
        </w:rPr>
        <w:t>. Notwithstanding anything in this Indenture or in the Notes to the contrary, if the Company so elects, the sole</w:t>
      </w:r>
    </w:p>
    <w:p>
      <w:pPr>
        <w:spacing w:after="0" w:line="2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remedy for an Event of Default relating to the Company’s failure to comply with its obligations as set forth in Section 4.06(b) shall, for the first 360</w:t>
      </w:r>
    </w:p>
    <w:p>
      <w:pPr>
        <w:spacing w:after="0" w:line="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days after the occurrence of such an Event of Default (which, for the avoidance of doubt, shall not commence until the notice described in</w:t>
      </w:r>
    </w:p>
    <w:p>
      <w:pPr>
        <w:spacing w:after="0" w:line="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Section 6.01(f) has been given, and the related 60-day period described in such Section 6.01(f) has passed), consist exclusively of the right to receive</w:t>
      </w:r>
    </w:p>
    <w:p>
      <w:pPr>
        <w:spacing w:after="0" w:line="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Additional Interest on the Notes at a rate equal to (i) 0.25% per annum of the principal amount of the Notes outstanding for each day during the first</w:t>
      </w:r>
    </w:p>
    <w:p>
      <w:pPr>
        <w:spacing w:after="0" w:line="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180-day period on which such Event of Default is continuing beginning on, and including the date on which such an Event of Default first occurs and</w:t>
      </w:r>
    </w:p>
    <w:p>
      <w:pPr>
        <w:spacing w:after="0" w:line="9" w:lineRule="exact"/>
        <w:rPr>
          <w:sz w:val="20"/>
          <w:szCs w:val="20"/>
          <w:color w:val="auto"/>
        </w:rPr>
      </w:pPr>
    </w:p>
    <w:p>
      <w:pPr>
        <w:ind w:left="4" w:right="560" w:hanging="4"/>
        <w:spacing w:after="0" w:line="260" w:lineRule="auto"/>
        <w:tabs>
          <w:tab w:leader="none" w:pos="269" w:val="left"/>
        </w:tabs>
        <w:numPr>
          <w:ilvl w:val="0"/>
          <w:numId w:val="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0.50% per annum of the principal amount of the Notes outstanding for each day during the period from, and including, the 181st day after the occurrence of such Event of Default to, and including, the 360th day after the occurrence of such Event of Default,</w:t>
      </w:r>
    </w:p>
    <w:p>
      <w:pPr>
        <w:spacing w:after="0" w:line="114"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34</w:t>
      </w:r>
    </w:p>
    <w:p>
      <w:pPr>
        <w:sectPr>
          <w:pgSz w:w="11900" w:h="16838" w:orient="portrait"/>
          <w:cols w:equalWidth="0" w:num="1">
            <w:col w:w="11004"/>
          </w:cols>
          <w:pgMar w:left="436" w:top="270" w:right="459" w:bottom="1440" w:gutter="0" w:footer="0" w:header="0"/>
        </w:sectPr>
      </w:pPr>
    </w:p>
    <w:bookmarkStart w:id="45" w:name="page46"/>
    <w:bookmarkEnd w:id="45"/>
    <w:p>
      <w:pPr>
        <w:spacing w:after="0" w:line="253"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during which such Event of Default is continuing. Additional Interest payable pursuant to this Section 6.03 shall be in addition to, not in lieu of, any Additional Interest payable pursuant to Section 4.06(d) or Section 4.06(e);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in no event shall the rate of any such Additional Interest payable under this Section 6.03, when taken together with any such Additional Interest payable pursuant to Section 4.06(d) as a result of the Company’s failure to timely file any document or report as set forth therein, accrue at a rate in excess of 0.50% per annum on any Note, regardless of the number of events or circumstances giving rise to the requirement to pay such Additional Interest. If the Company so elects, such Additional Interest shall be payable in the same manner and on the same dates as the stated interest payable on the Notes. On the 361st day after such Event of Default (if the Event of Default relating to the Company’s failure to file is not cured or waived prior to such 361st day), the Notes shall be immediately subject to acceleration as provided in Section 6.02. The provisions of this paragraph will not affect the rights of Holders of Notes in the event of the occurrence of any Event of Default other than the Company’s failure to comply with its obligations as set forth in Section 4.06(b). In the event the Company does not elect to pay Additional Interest following an Event of Default in accordance with this Section 6.03 or the Company has elected to make such payment but does not pay the Additional Interest when due, the Notes shall be immediately subject to acceleration as provided in Section 6.02.</w:t>
      </w:r>
    </w:p>
    <w:p>
      <w:pPr>
        <w:spacing w:after="0" w:line="192" w:lineRule="exact"/>
        <w:rPr>
          <w:sz w:val="20"/>
          <w:szCs w:val="20"/>
          <w:color w:val="auto"/>
        </w:rPr>
      </w:pPr>
    </w:p>
    <w:p>
      <w:pPr>
        <w:jc w:val="both"/>
        <w:ind w:right="180" w:firstLine="440"/>
        <w:spacing w:after="0" w:line="258" w:lineRule="auto"/>
        <w:rPr>
          <w:sz w:val="20"/>
          <w:szCs w:val="20"/>
          <w:color w:val="auto"/>
        </w:rPr>
      </w:pPr>
      <w:r>
        <w:rPr>
          <w:rFonts w:ascii="Times New Roman" w:cs="Times New Roman" w:eastAsia="Times New Roman" w:hAnsi="Times New Roman"/>
          <w:sz w:val="18"/>
          <w:szCs w:val="18"/>
          <w:color w:val="auto"/>
        </w:rPr>
        <w:t>In order to elect to pay Additional Interest as the sole remedy during the first 360 days after the occurrence of any Event of Default described in the immediately preceding paragraph, the Company must notify in writing all Holders of the Notes, the Trustee and the Paying Agent of such election prior to the beginning of such 360-day period (which, for the avoidance of doubt, shall not commence until the notice described in Section 6.01(f) has been given, and the related 60-day period described in such Section 6.01(f) has passed). Upon the failure to timely give such notice, the Notes shall be immediately subject to acceleration as provided in Section 6.02.</w:t>
      </w:r>
    </w:p>
    <w:p>
      <w:pPr>
        <w:spacing w:after="0" w:line="181" w:lineRule="exact"/>
        <w:rPr>
          <w:sz w:val="20"/>
          <w:szCs w:val="20"/>
          <w:color w:val="auto"/>
        </w:rPr>
      </w:pPr>
    </w:p>
    <w:p>
      <w:pPr>
        <w:ind w:firstLine="440"/>
        <w:spacing w:after="0" w:line="254" w:lineRule="auto"/>
        <w:rPr>
          <w:sz w:val="20"/>
          <w:szCs w:val="20"/>
          <w:color w:val="auto"/>
        </w:rPr>
      </w:pPr>
      <w:r>
        <w:rPr>
          <w:rFonts w:ascii="Times New Roman" w:cs="Times New Roman" w:eastAsia="Times New Roman" w:hAnsi="Times New Roman"/>
          <w:sz w:val="18"/>
          <w:szCs w:val="18"/>
          <w:color w:val="auto"/>
        </w:rPr>
        <w:t>Section 6.04</w:t>
      </w:r>
      <w:r>
        <w:rPr>
          <w:rFonts w:ascii="Times New Roman" w:cs="Times New Roman" w:eastAsia="Times New Roman" w:hAnsi="Times New Roman"/>
          <w:sz w:val="18"/>
          <w:szCs w:val="18"/>
          <w:i w:val="1"/>
          <w:iCs w:val="1"/>
          <w:color w:val="auto"/>
        </w:rPr>
        <w:t>. Payments of Notes on Default; Suit Therefor.</w:t>
      </w:r>
      <w:r>
        <w:rPr>
          <w:rFonts w:ascii="Times New Roman" w:cs="Times New Roman" w:eastAsia="Times New Roman" w:hAnsi="Times New Roman"/>
          <w:sz w:val="18"/>
          <w:szCs w:val="18"/>
          <w:color w:val="auto"/>
        </w:rPr>
        <w:t xml:space="preserve"> If an Event of Default described in clause (a) or (b) of Section 6.01 shall have occurred, the Company shall, upon demand of the Trustee, pay to the Trustee, for the benefit of the Holders of the Notes, the whole amount then due and payable on the Notes for principal and interest, if any, with interest on any overdue principal and interest, if any, at the rate borne by the Notes at such time (to the extent such interest on overdue principal and interest is permitted by law), and, in addition thereto, such further amount as shall be sufficient to cover any amounts due to the Trustee under Section 7.06. If the Company shall fail to pay such amounts forthwith upon such demand, the Trustee, in its own name and as trustee of an express trust, may institute a judicial proceeding for the collection of the sums so due and unpaid, may prosecute such proceeding to judgment or final decree and may enforce the same against the Company or any other obligor upon the Notes and collect the moneys adjudged or decreed to be payable in the manner provided by law out of the property of the Company or any other obligor upon the Notes, wherever situated.</w:t>
      </w:r>
    </w:p>
    <w:p>
      <w:pPr>
        <w:spacing w:after="0" w:line="12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35</w:t>
      </w:r>
    </w:p>
    <w:p>
      <w:pPr>
        <w:sectPr>
          <w:pgSz w:w="11900" w:h="16838" w:orient="portrait"/>
          <w:cols w:equalWidth="0" w:num="1">
            <w:col w:w="11000"/>
          </w:cols>
          <w:pgMar w:left="440" w:top="270" w:right="459" w:bottom="1440" w:gutter="0" w:footer="0" w:header="0"/>
        </w:sectPr>
      </w:pPr>
    </w:p>
    <w:bookmarkStart w:id="46" w:name="page47"/>
    <w:bookmarkEnd w:id="46"/>
    <w:p>
      <w:pPr>
        <w:ind w:firstLine="440"/>
        <w:spacing w:after="0" w:line="25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In the event there shall be pending proceedings for the bankruptcy or for the reorganization of the Company or any other obligor on the Notes under Title 11 of the United States Code, or any other applicable law, or in case a receiver, assignee or trustee in bankruptcy or reorganization, liquidator, sequestrator or similar official shall have been appointed for or taken possession of the Company or such other obligor, the property of the Company or such other obligor, or in the event of any other judicial proceedings relative to the Company or such other obligor upon the Notes, or to the creditors or property of the Company or such other obligor, the Trustee, irrespective of whether the principal of the Notes shall then be due and payable as therein expressed or by declaration or otherwise and irrespective of whether the Trustee shall have made any demand pursuant to the provisions of this Section 6.04, shall be entitled and empowered, by intervention in such proceedings or otherwise, to file and prove a claim or claims for the whole amount of principal and accrued and unpaid interest, if any, in respect of the Notes, and, in case of any judicial proceedings, to file such proofs of claim and other papers or documents and to take such other actions as it may deem necessary or advisable in order to have the claims of the Trustee (including any claim for the reasonable compensation, expenses, disbursements and advances of the Trustee, its agents and counsel) and of the Holders allowed in such judicial proceedings relative to the Company or any other obligor on the Notes, its or their creditors, or its or their property, and to collect and receive any monies or other property payable or deliverable on any such claims, and to distribute the same after the deduction of any amounts due to the Trustee under Section 7.06; and any receiver, assignee or trustee in bankruptcy or reorganization, liquidator, custodian or similar official is hereby authorized by each of the Holders to make such payments to the Trustee, as administrative expenses, and, in the event that the Trustee shall consent to the making of such payments directly to the Holders, to pay to the Trustee any amount due it for reasonable compensation, expenses, advances and disbursements, including agents and counsel fees, and including any other amounts due to the Trustee under Section 7.06, incurred by it up to the date of such distribution. To the extent that such payment of reasonable compensation, expenses, advances and disbursements out of the estate in any such proceedings shall be denied for any reason, payment of the same shall be secured by a lien on, and shall be paid out of, any and all distributions, dividends, monies, securities and other property that the Holders of the Notes may be entitled to receive in such proceedings, whether in liquidation or under any plan of reorganization or arrangement or otherwise.</w:t>
      </w:r>
    </w:p>
    <w:p>
      <w:pPr>
        <w:spacing w:after="0" w:line="189" w:lineRule="exact"/>
        <w:rPr>
          <w:sz w:val="20"/>
          <w:szCs w:val="20"/>
          <w:color w:val="auto"/>
        </w:rPr>
      </w:pPr>
    </w:p>
    <w:p>
      <w:pPr>
        <w:jc w:val="both"/>
        <w:ind w:right="120" w:firstLine="440"/>
        <w:spacing w:after="0" w:line="266" w:lineRule="auto"/>
        <w:rPr>
          <w:sz w:val="20"/>
          <w:szCs w:val="20"/>
          <w:color w:val="auto"/>
        </w:rPr>
      </w:pPr>
      <w:r>
        <w:rPr>
          <w:rFonts w:ascii="Times New Roman" w:cs="Times New Roman" w:eastAsia="Times New Roman" w:hAnsi="Times New Roman"/>
          <w:sz w:val="18"/>
          <w:szCs w:val="18"/>
          <w:color w:val="auto"/>
        </w:rPr>
        <w:t>Nothing herein contained shall be deemed to authorize the Trustee to authorize or consent to or accept or adopt on behalf of any Holder any plan of reorganization, arrangement, adjustment or composition affecting such Holder or the rights of any Holder thereof, or to authorize the Trustee to vote in respect of the claim of any Holder in any such proceeding.</w:t>
      </w:r>
    </w:p>
    <w:p>
      <w:pPr>
        <w:spacing w:after="0" w:line="176" w:lineRule="exact"/>
        <w:rPr>
          <w:sz w:val="20"/>
          <w:szCs w:val="20"/>
          <w:color w:val="auto"/>
        </w:rPr>
      </w:pPr>
    </w:p>
    <w:p>
      <w:pPr>
        <w:ind w:right="40" w:firstLine="440"/>
        <w:spacing w:after="0" w:line="281" w:lineRule="auto"/>
        <w:rPr>
          <w:sz w:val="20"/>
          <w:szCs w:val="20"/>
          <w:color w:val="auto"/>
        </w:rPr>
      </w:pPr>
      <w:r>
        <w:rPr>
          <w:rFonts w:ascii="Times New Roman" w:cs="Times New Roman" w:eastAsia="Times New Roman" w:hAnsi="Times New Roman"/>
          <w:sz w:val="17"/>
          <w:szCs w:val="17"/>
          <w:color w:val="auto"/>
        </w:rPr>
        <w:t>All rights of action and of asserting claims under this Indenture, or under any of the Notes, may be enforced by the Trustee without the possession of any of the Notes, or the production thereof at any trial or other proceeding relative thereto, and any such suit or proceeding instituted by the Trustee shall be brought in its own name as trustee of an express trust, and any recovery of judgment shall, after provision for the payment of the reasonable compensation, expenses, disbursements and advances of the Trustee, its agents and counsel, be for the ratable benefit of the Holders of the Notes.</w:t>
      </w:r>
    </w:p>
    <w:p>
      <w:pPr>
        <w:spacing w:after="0" w:line="164" w:lineRule="exact"/>
        <w:rPr>
          <w:sz w:val="20"/>
          <w:szCs w:val="20"/>
          <w:color w:val="auto"/>
        </w:rPr>
      </w:pPr>
    </w:p>
    <w:p>
      <w:pPr>
        <w:ind w:right="320" w:firstLine="440"/>
        <w:spacing w:after="0" w:line="266" w:lineRule="auto"/>
        <w:rPr>
          <w:sz w:val="20"/>
          <w:szCs w:val="20"/>
          <w:color w:val="auto"/>
        </w:rPr>
      </w:pPr>
      <w:r>
        <w:rPr>
          <w:rFonts w:ascii="Times New Roman" w:cs="Times New Roman" w:eastAsia="Times New Roman" w:hAnsi="Times New Roman"/>
          <w:sz w:val="18"/>
          <w:szCs w:val="18"/>
          <w:color w:val="auto"/>
        </w:rPr>
        <w:t>In any proceedings brought by the Trustee (and in any proceedings involving the interpretation of any provision of this Indenture to which the Trustee shall be a party) the Trustee shall be held to represent all the Holders of the Notes, and it shall not be necessary to make any Holders of the Notes parties to any such proceedings.</w:t>
      </w:r>
    </w:p>
    <w:p>
      <w:pPr>
        <w:spacing w:after="0" w:line="108"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36</w:t>
      </w:r>
    </w:p>
    <w:p>
      <w:pPr>
        <w:sectPr>
          <w:pgSz w:w="11900" w:h="16838" w:orient="portrait"/>
          <w:cols w:equalWidth="0" w:num="1">
            <w:col w:w="10980"/>
          </w:cols>
          <w:pgMar w:left="440" w:top="270" w:right="479" w:bottom="1440" w:gutter="0" w:footer="0" w:header="0"/>
        </w:sectPr>
      </w:pPr>
    </w:p>
    <w:bookmarkStart w:id="47" w:name="page48"/>
    <w:bookmarkEnd w:id="47"/>
    <w:p>
      <w:pPr>
        <w:ind w:firstLine="440"/>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In case the Trustee shall have proceeded to enforce any right under this Indenture and such proceedings shall have been discontinued or abandoned because of any waiver pursuant to Section 6.09 or any rescission and annulment pursuant to Section 6.02 or for any other reason or shall have been determined adversely to the Trustee, then and in every such case the Company, the Holders and the Trustee shall, subject to any determination in such proceeding, be restored respectively to their several positions and rights hereunder, and all rights, remedies and powers of the Company, the Holders and the Trustee shall continue as though no such proceeding had been instituted.</w:t>
      </w:r>
    </w:p>
    <w:p>
      <w:pPr>
        <w:spacing w:after="0" w:line="181" w:lineRule="exact"/>
        <w:rPr>
          <w:sz w:val="20"/>
          <w:szCs w:val="20"/>
          <w:color w:val="auto"/>
        </w:rPr>
      </w:pPr>
    </w:p>
    <w:p>
      <w:pPr>
        <w:ind w:right="40" w:firstLine="440"/>
        <w:spacing w:after="0" w:line="267" w:lineRule="auto"/>
        <w:rPr>
          <w:sz w:val="20"/>
          <w:szCs w:val="20"/>
          <w:color w:val="auto"/>
        </w:rPr>
      </w:pPr>
      <w:r>
        <w:rPr>
          <w:rFonts w:ascii="Times New Roman" w:cs="Times New Roman" w:eastAsia="Times New Roman" w:hAnsi="Times New Roman"/>
          <w:sz w:val="18"/>
          <w:szCs w:val="18"/>
          <w:color w:val="auto"/>
        </w:rPr>
        <w:t>Section 6.05</w:t>
      </w:r>
      <w:r>
        <w:rPr>
          <w:rFonts w:ascii="Times New Roman" w:cs="Times New Roman" w:eastAsia="Times New Roman" w:hAnsi="Times New Roman"/>
          <w:sz w:val="18"/>
          <w:szCs w:val="18"/>
          <w:i w:val="1"/>
          <w:iCs w:val="1"/>
          <w:color w:val="auto"/>
        </w:rPr>
        <w:t>. Application of Monies Collected by Trustee.</w:t>
      </w:r>
      <w:r>
        <w:rPr>
          <w:rFonts w:ascii="Times New Roman" w:cs="Times New Roman" w:eastAsia="Times New Roman" w:hAnsi="Times New Roman"/>
          <w:sz w:val="18"/>
          <w:szCs w:val="18"/>
          <w:color w:val="auto"/>
        </w:rPr>
        <w:t xml:space="preserve"> Any monies collected by the Trustee pursuant to this Article 6 with respect to the Notes shall be applied in the following order, at the date or dates fixed by the Trustee for the distribution of such monies, upon presentation of the several Notes, and stamping thereon the payment, if only partially paid, and upon surrender thereof, if fully paid:</w:t>
      </w:r>
    </w:p>
    <w:p>
      <w:pPr>
        <w:spacing w:after="0" w:line="17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b w:val="1"/>
          <w:bCs w:val="1"/>
          <w:color w:val="auto"/>
        </w:rPr>
        <w:t>First</w:t>
      </w:r>
      <w:r>
        <w:rPr>
          <w:rFonts w:ascii="Times New Roman" w:cs="Times New Roman" w:eastAsia="Times New Roman" w:hAnsi="Times New Roman"/>
          <w:sz w:val="18"/>
          <w:szCs w:val="18"/>
          <w:color w:val="auto"/>
        </w:rPr>
        <w:t>, to the payment of all amounts due to the Trustee, including its agents and counsel, under Section 7.06;</w:t>
      </w:r>
    </w:p>
    <w:p>
      <w:pPr>
        <w:spacing w:after="0" w:line="225" w:lineRule="exact"/>
        <w:rPr>
          <w:sz w:val="20"/>
          <w:szCs w:val="20"/>
          <w:color w:val="auto"/>
        </w:rPr>
      </w:pPr>
    </w:p>
    <w:p>
      <w:pPr>
        <w:ind w:right="140" w:firstLine="440"/>
        <w:spacing w:after="0" w:line="262" w:lineRule="auto"/>
        <w:rPr>
          <w:sz w:val="20"/>
          <w:szCs w:val="20"/>
          <w:color w:val="auto"/>
        </w:rPr>
      </w:pPr>
      <w:r>
        <w:rPr>
          <w:rFonts w:ascii="Times New Roman" w:cs="Times New Roman" w:eastAsia="Times New Roman" w:hAnsi="Times New Roman"/>
          <w:sz w:val="18"/>
          <w:szCs w:val="18"/>
          <w:b w:val="1"/>
          <w:bCs w:val="1"/>
          <w:color w:val="auto"/>
        </w:rPr>
        <w:t>Second</w:t>
      </w:r>
      <w:r>
        <w:rPr>
          <w:rFonts w:ascii="Times New Roman" w:cs="Times New Roman" w:eastAsia="Times New Roman" w:hAnsi="Times New Roman"/>
          <w:sz w:val="18"/>
          <w:szCs w:val="18"/>
          <w:color w:val="auto"/>
        </w:rPr>
        <w:t>, in case the principal of the outstanding Notes shall not have become due and be unpaid, to the payment of any accrued and unpaid</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interest on, and any cash due upon conversion of, the Notes in default in the order of the date due of the payments of such interest and cash due upon conversion, as the case may be, with interest (to the extent that such interest has been collected by the Trustee) upon such overdue payments at the rate borne by the Notes at such time, such payments to be made ratably to the Persons entitled thereto;</w:t>
      </w:r>
    </w:p>
    <w:p>
      <w:pPr>
        <w:spacing w:after="0" w:line="176" w:lineRule="exact"/>
        <w:rPr>
          <w:sz w:val="20"/>
          <w:szCs w:val="20"/>
          <w:color w:val="auto"/>
        </w:rPr>
      </w:pPr>
    </w:p>
    <w:p>
      <w:pPr>
        <w:ind w:right="20" w:firstLine="440"/>
        <w:spacing w:after="0" w:line="254" w:lineRule="auto"/>
        <w:rPr>
          <w:sz w:val="20"/>
          <w:szCs w:val="20"/>
          <w:color w:val="auto"/>
        </w:rPr>
      </w:pPr>
      <w:r>
        <w:rPr>
          <w:rFonts w:ascii="Times New Roman" w:cs="Times New Roman" w:eastAsia="Times New Roman" w:hAnsi="Times New Roman"/>
          <w:sz w:val="18"/>
          <w:szCs w:val="18"/>
          <w:b w:val="1"/>
          <w:bCs w:val="1"/>
          <w:color w:val="auto"/>
        </w:rPr>
        <w:t>Third</w:t>
      </w:r>
      <w:r>
        <w:rPr>
          <w:rFonts w:ascii="Times New Roman" w:cs="Times New Roman" w:eastAsia="Times New Roman" w:hAnsi="Times New Roman"/>
          <w:sz w:val="18"/>
          <w:szCs w:val="18"/>
          <w:color w:val="auto"/>
        </w:rPr>
        <w:t>, in case the principal of the outstanding Notes shall have become due, by declaration or otherwise, and be unpaid to the payment of the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whole amount (including, if applicable, the payment of the Redemption Price, the Repurchase Price and the Fundamental Change Repurchase Price and any cash due upon conversion) then owing and unpaid upon the Notes for principal and interest, if any, with interest on the overdue principal and, to the extent that such interest has been collected by the Trustee, upon overdue installments of interest at the rate borne by the Notes at such time, and in case such monies shall be insufficient to pay in full the whole amounts so due and unpaid upon the Notes, then to the payment of such principal (including, if applicable, the Redemption Price, the Repurchase Price and the Fundamental Change Repurchase Price and any cash due upon conversion) and interest without preference or priority of principal over interest, or of interest over principal or of any installment of interest over any other installment of interest, or of any Note over any other Note, ratably to the aggregate of such principal (including, if applicable, the Redemption Price, the Repurchase Price and the Fundamental Change Repurchase Price and any cash due upon conversion) and accrued and unpaid interest; and</w:t>
      </w:r>
    </w:p>
    <w:p>
      <w:pPr>
        <w:spacing w:after="0" w:line="188"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b w:val="1"/>
          <w:bCs w:val="1"/>
          <w:color w:val="auto"/>
        </w:rPr>
        <w:t>Fourth</w:t>
      </w:r>
      <w:r>
        <w:rPr>
          <w:rFonts w:ascii="Times New Roman" w:cs="Times New Roman" w:eastAsia="Times New Roman" w:hAnsi="Times New Roman"/>
          <w:sz w:val="18"/>
          <w:szCs w:val="18"/>
          <w:color w:val="auto"/>
        </w:rPr>
        <w:t>, to the payment of the remainder, if any, to the Company.</w:t>
      </w:r>
    </w:p>
    <w:p>
      <w:pPr>
        <w:spacing w:after="0" w:line="227" w:lineRule="exact"/>
        <w:rPr>
          <w:sz w:val="20"/>
          <w:szCs w:val="20"/>
          <w:color w:val="auto"/>
        </w:rPr>
      </w:pPr>
    </w:p>
    <w:p>
      <w:pPr>
        <w:ind w:right="60" w:firstLine="440"/>
        <w:spacing w:after="0" w:line="258" w:lineRule="auto"/>
        <w:rPr>
          <w:sz w:val="20"/>
          <w:szCs w:val="20"/>
          <w:color w:val="auto"/>
        </w:rPr>
      </w:pPr>
      <w:r>
        <w:rPr>
          <w:rFonts w:ascii="Times New Roman" w:cs="Times New Roman" w:eastAsia="Times New Roman" w:hAnsi="Times New Roman"/>
          <w:sz w:val="18"/>
          <w:szCs w:val="18"/>
          <w:color w:val="auto"/>
        </w:rPr>
        <w:t>Section 6.06</w:t>
      </w:r>
      <w:r>
        <w:rPr>
          <w:rFonts w:ascii="Times New Roman" w:cs="Times New Roman" w:eastAsia="Times New Roman" w:hAnsi="Times New Roman"/>
          <w:sz w:val="18"/>
          <w:szCs w:val="18"/>
          <w:i w:val="1"/>
          <w:iCs w:val="1"/>
          <w:color w:val="auto"/>
        </w:rPr>
        <w:t>. Proceedings by Holders.</w:t>
      </w:r>
      <w:r>
        <w:rPr>
          <w:rFonts w:ascii="Times New Roman" w:cs="Times New Roman" w:eastAsia="Times New Roman" w:hAnsi="Times New Roman"/>
          <w:sz w:val="18"/>
          <w:szCs w:val="18"/>
          <w:color w:val="auto"/>
        </w:rPr>
        <w:t xml:space="preserve"> Except to enforce the right to receive payment of principal (including, if applicable, the Redemption Price, the Repurchase Price and the Fundamental Change Repurchase Price) or interest when due, or the right to receive payment or delivery of the consideration due upon conversion, no Holder of any Note shall have any right by virtue of or by availing of any provision of this Indenture to institute any suit, action or proceeding in equity or at law upon or under or with respect to this Indenture, or for the appointment of a receiver, trustee, liquidator, custodian or other similar official, or for any other remedy hereunder, unless:</w:t>
      </w:r>
    </w:p>
    <w:p>
      <w:pPr>
        <w:spacing w:after="0" w:line="118"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37</w:t>
      </w:r>
    </w:p>
    <w:p>
      <w:pPr>
        <w:sectPr>
          <w:pgSz w:w="11900" w:h="16838" w:orient="portrait"/>
          <w:cols w:equalWidth="0" w:num="1">
            <w:col w:w="10980"/>
          </w:cols>
          <w:pgMar w:left="440" w:top="270" w:right="479" w:bottom="1440" w:gutter="0" w:footer="0" w:header="0"/>
        </w:sectPr>
      </w:pPr>
    </w:p>
    <w:bookmarkStart w:id="48" w:name="page49"/>
    <w:bookmarkEnd w:id="48"/>
    <w:p>
      <w:pPr>
        <w:ind w:left="680" w:hanging="244"/>
        <w:spacing w:after="0"/>
        <w:tabs>
          <w:tab w:leader="none" w:pos="680" w:val="left"/>
        </w:tabs>
        <w:numPr>
          <w:ilvl w:val="0"/>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such Holder previously shall have given to the Trustee written notice of an Event of Default and of the continuance thereof, as herein provided;</w:t>
      </w:r>
    </w:p>
    <w:p>
      <w:pPr>
        <w:spacing w:after="0" w:line="225" w:lineRule="exact"/>
        <w:rPr>
          <w:rFonts w:ascii="Times New Roman" w:cs="Times New Roman" w:eastAsia="Times New Roman" w:hAnsi="Times New Roman"/>
          <w:sz w:val="18"/>
          <w:szCs w:val="18"/>
          <w:color w:val="auto"/>
        </w:rPr>
      </w:pPr>
    </w:p>
    <w:p>
      <w:pPr>
        <w:ind w:right="520" w:firstLine="436"/>
        <w:spacing w:after="0" w:line="282" w:lineRule="auto"/>
        <w:tabs>
          <w:tab w:leader="none" w:pos="695" w:val="left"/>
        </w:tabs>
        <w:numPr>
          <w:ilvl w:val="0"/>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Holders of at least 25% in aggregate principal amount of the Notes then outstanding shall have made written request upon the Trustee to institute such action, suit or proceeding in its own name as Trustee hereunder;</w:t>
      </w:r>
    </w:p>
    <w:p>
      <w:pPr>
        <w:spacing w:after="0" w:line="161" w:lineRule="exact"/>
        <w:rPr>
          <w:rFonts w:ascii="Times New Roman" w:cs="Times New Roman" w:eastAsia="Times New Roman" w:hAnsi="Times New Roman"/>
          <w:sz w:val="18"/>
          <w:szCs w:val="18"/>
          <w:color w:val="auto"/>
        </w:rPr>
      </w:pPr>
    </w:p>
    <w:p>
      <w:pPr>
        <w:ind w:right="500" w:firstLine="436"/>
        <w:spacing w:after="0" w:line="282" w:lineRule="auto"/>
        <w:tabs>
          <w:tab w:leader="none" w:pos="685" w:val="left"/>
        </w:tabs>
        <w:numPr>
          <w:ilvl w:val="0"/>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such Holders shall have offered to the Trustee such security and/or indemnity satisfactory to it against any loss, liability or expense to be incurred therein or thereby;</w:t>
      </w:r>
    </w:p>
    <w:p>
      <w:pPr>
        <w:spacing w:after="0" w:line="161"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has not complied with such request for 60 days after its receipt of such notice, request and offer of such security and/or indemnity;</w:t>
      </w:r>
    </w:p>
    <w:p>
      <w:pPr>
        <w:spacing w:after="0" w:line="27" w:lineRule="exact"/>
        <w:rPr>
          <w:rFonts w:ascii="Times New Roman" w:cs="Times New Roman" w:eastAsia="Times New Roman" w:hAnsi="Times New Roman"/>
          <w:sz w:val="18"/>
          <w:szCs w:val="18"/>
          <w:color w:val="auto"/>
        </w:rPr>
      </w:pPr>
    </w:p>
    <w:p>
      <w:pPr>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and</w:t>
      </w:r>
    </w:p>
    <w:p>
      <w:pPr>
        <w:spacing w:after="0" w:line="206" w:lineRule="exact"/>
        <w:rPr>
          <w:rFonts w:ascii="Times New Roman" w:cs="Times New Roman" w:eastAsia="Times New Roman" w:hAnsi="Times New Roman"/>
          <w:sz w:val="18"/>
          <w:szCs w:val="18"/>
          <w:color w:val="auto"/>
        </w:rPr>
      </w:pPr>
    </w:p>
    <w:p>
      <w:pPr>
        <w:ind w:firstLine="436"/>
        <w:spacing w:after="0" w:line="282" w:lineRule="auto"/>
        <w:tabs>
          <w:tab w:leader="none" w:pos="685" w:val="left"/>
        </w:tabs>
        <w:numPr>
          <w:ilvl w:val="0"/>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 direction that, in the opinion of the Trustee, is inconsistent with such written request shall have been given to the Trustee by the Holders of a majority of the aggregate principal amount of the Notes then outstanding within such 60-day period pursuant to Section 6.09,</w:t>
      </w:r>
    </w:p>
    <w:p>
      <w:pPr>
        <w:spacing w:after="0" w:line="162" w:lineRule="exact"/>
        <w:rPr>
          <w:sz w:val="20"/>
          <w:szCs w:val="20"/>
          <w:color w:val="auto"/>
        </w:rPr>
      </w:pPr>
    </w:p>
    <w:p>
      <w:pPr>
        <w:ind w:right="120"/>
        <w:spacing w:after="0" w:line="255" w:lineRule="auto"/>
        <w:rPr>
          <w:sz w:val="20"/>
          <w:szCs w:val="20"/>
          <w:color w:val="auto"/>
        </w:rPr>
      </w:pPr>
      <w:r>
        <w:rPr>
          <w:rFonts w:ascii="Times New Roman" w:cs="Times New Roman" w:eastAsia="Times New Roman" w:hAnsi="Times New Roman"/>
          <w:sz w:val="18"/>
          <w:szCs w:val="18"/>
          <w:color w:val="auto"/>
        </w:rPr>
        <w:t>it being understood and intended, and being expressly covenanted by the taker and Holder of every Note with every other taker and Holder and the Trustee that no one or more Holders shall have any right in any manner whatever by virtue of or by availing of any provision of this Indenture to affect, disturb or prejudice the rights of any other Holder, or to obtain or seek to obtain priority over or preference to any other such Holder, or to enforce any right under this Indenture, except in the manner herein provided and for the equal, ratable and common benefit of all Holders (except as otherwise provided herein), it being understood that the Trustee does not have an affirmative duty to ascertain whether or not any actions or forbearances by a Holder are prejudicial to other Holders. For the protection and enforcement of this Section 6.06, each and every Holder and the Trustee shall be entitled to such relief as can be given either at law or in equity.</w:t>
      </w:r>
    </w:p>
    <w:p>
      <w:pPr>
        <w:spacing w:after="0" w:line="189" w:lineRule="exact"/>
        <w:rPr>
          <w:sz w:val="20"/>
          <w:szCs w:val="20"/>
          <w:color w:val="auto"/>
        </w:rPr>
      </w:pPr>
    </w:p>
    <w:p>
      <w:pPr>
        <w:ind w:right="80" w:firstLine="440"/>
        <w:spacing w:after="0" w:line="258" w:lineRule="auto"/>
        <w:rPr>
          <w:sz w:val="20"/>
          <w:szCs w:val="20"/>
          <w:color w:val="auto"/>
        </w:rPr>
      </w:pPr>
      <w:r>
        <w:rPr>
          <w:rFonts w:ascii="Times New Roman" w:cs="Times New Roman" w:eastAsia="Times New Roman" w:hAnsi="Times New Roman"/>
          <w:sz w:val="18"/>
          <w:szCs w:val="18"/>
          <w:color w:val="auto"/>
        </w:rPr>
        <w:t>Notwithstanding any other provision of this Indenture and any provision of any Note, each Holder shall have the right to receive payment or delivery, as the case may be, of (x) the principal (including the Redemption Price, the Repurchase Price and the Fundamental Change Repurchase Price, if applicable) of, (y) accrued and unpaid interest, if any, on, and (z) the consideration due upon conversion of, such Note, on or after the respective due dates expressed or provided for in such Note or in this Indenture, or to institute suit for the enforcement of any such payment or delivery, as the case may be, and such right to receive such payment or delivery, as the case may be.</w:t>
      </w:r>
    </w:p>
    <w:p>
      <w:pPr>
        <w:spacing w:after="0" w:line="11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38</w:t>
      </w:r>
    </w:p>
    <w:p>
      <w:pPr>
        <w:sectPr>
          <w:pgSz w:w="11900" w:h="16838" w:orient="portrait"/>
          <w:cols w:equalWidth="0" w:num="1">
            <w:col w:w="11020"/>
          </w:cols>
          <w:pgMar w:left="440" w:top="270" w:right="439" w:bottom="1440" w:gutter="0" w:footer="0" w:header="0"/>
        </w:sectPr>
      </w:pPr>
    </w:p>
    <w:bookmarkStart w:id="49" w:name="page50"/>
    <w:bookmarkEnd w:id="49"/>
    <w:p>
      <w:pPr>
        <w:jc w:val="both"/>
        <w:ind w:right="40" w:firstLine="440"/>
        <w:spacing w:after="0" w:line="281" w:lineRule="auto"/>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6.07</w:t>
      </w:r>
      <w:r>
        <w:rPr>
          <w:rFonts w:ascii="Times New Roman" w:cs="Times New Roman" w:eastAsia="Times New Roman" w:hAnsi="Times New Roman"/>
          <w:sz w:val="17"/>
          <w:szCs w:val="17"/>
          <w:i w:val="1"/>
          <w:iCs w:val="1"/>
          <w:color w:val="auto"/>
        </w:rPr>
        <w:t>. Proceedings by Trustee.</w:t>
      </w:r>
      <w:r>
        <w:rPr>
          <w:rFonts w:ascii="Times New Roman" w:cs="Times New Roman" w:eastAsia="Times New Roman" w:hAnsi="Times New Roman"/>
          <w:sz w:val="17"/>
          <w:szCs w:val="17"/>
          <w:color w:val="auto"/>
        </w:rPr>
        <w:t xml:space="preserve"> In case of an Event of Default, the Trustee may proceed to protect and enforce the rights vested in it by this Indenture by such appropriate judicial proceedings as are necessary to protect and enforce any of such rights, either by suit in equity or by action at law or by proceeding in bankruptcy or otherwise, whether for the specific enforcement of any covenant or agreement contained in this Indenture or in aid of the exercise of any power granted in this Indenture, or to enforce any other legal or equitable right vested in the Trustee by this Indenture or by law.</w:t>
      </w:r>
    </w:p>
    <w:p>
      <w:pPr>
        <w:spacing w:after="0" w:line="164" w:lineRule="exact"/>
        <w:rPr>
          <w:sz w:val="20"/>
          <w:szCs w:val="20"/>
          <w:color w:val="auto"/>
        </w:rPr>
      </w:pPr>
    </w:p>
    <w:p>
      <w:pPr>
        <w:ind w:firstLine="440"/>
        <w:spacing w:after="0" w:line="255" w:lineRule="auto"/>
        <w:rPr>
          <w:sz w:val="20"/>
          <w:szCs w:val="20"/>
          <w:color w:val="auto"/>
        </w:rPr>
      </w:pPr>
      <w:r>
        <w:rPr>
          <w:rFonts w:ascii="Times New Roman" w:cs="Times New Roman" w:eastAsia="Times New Roman" w:hAnsi="Times New Roman"/>
          <w:sz w:val="18"/>
          <w:szCs w:val="18"/>
          <w:color w:val="auto"/>
        </w:rPr>
        <w:t>Section 6.08</w:t>
      </w:r>
      <w:r>
        <w:rPr>
          <w:rFonts w:ascii="Times New Roman" w:cs="Times New Roman" w:eastAsia="Times New Roman" w:hAnsi="Times New Roman"/>
          <w:sz w:val="18"/>
          <w:szCs w:val="18"/>
          <w:i w:val="1"/>
          <w:iCs w:val="1"/>
          <w:color w:val="auto"/>
        </w:rPr>
        <w:t>. Remedies Cumulative and Continuing.</w:t>
      </w:r>
      <w:r>
        <w:rPr>
          <w:rFonts w:ascii="Times New Roman" w:cs="Times New Roman" w:eastAsia="Times New Roman" w:hAnsi="Times New Roman"/>
          <w:sz w:val="18"/>
          <w:szCs w:val="18"/>
          <w:color w:val="auto"/>
        </w:rPr>
        <w:t xml:space="preserve"> Except as provided in the last paragraph of Section 2.06, all powers and remedies given by this Article 6 to the Trustee or to the Holders shall, to the extent permitted by law, be deemed cumulative and not exclusive of any thereof or of any other powers and remedies available to the Trustee or the Holders of the Notes, by judicial proceedings or otherwise, to enforce the performance or observance of the covenants and agreements contained in this Indenture, and no delay or omission of the Trustee or of any Holder of any of the Notes to exercise any right or power accruing upon any Default or Event of Default shall impair any such right or power, or shall be construed to be a waiver of any such Default or Event of Default or any acquiescence therein; and, subject to the provisions of Section 6.06, every power and remedy given by this Article 6 or by law to the Trustee or to the Holders may be exercised from time to time, and as often as shall be deemed expedient, by the Trustee or by the Holders.</w:t>
      </w:r>
    </w:p>
    <w:p>
      <w:pPr>
        <w:spacing w:after="0" w:line="185" w:lineRule="exact"/>
        <w:rPr>
          <w:sz w:val="20"/>
          <w:szCs w:val="20"/>
          <w:color w:val="auto"/>
        </w:rPr>
      </w:pPr>
    </w:p>
    <w:p>
      <w:pPr>
        <w:ind w:firstLine="440"/>
        <w:spacing w:after="0" w:line="268" w:lineRule="auto"/>
        <w:rPr>
          <w:sz w:val="20"/>
          <w:szCs w:val="20"/>
          <w:color w:val="auto"/>
        </w:rPr>
      </w:pPr>
      <w:r>
        <w:rPr>
          <w:rFonts w:ascii="Times New Roman" w:cs="Times New Roman" w:eastAsia="Times New Roman" w:hAnsi="Times New Roman"/>
          <w:sz w:val="17"/>
          <w:szCs w:val="17"/>
          <w:color w:val="auto"/>
        </w:rPr>
        <w:t>Section 6.09</w:t>
      </w:r>
      <w:r>
        <w:rPr>
          <w:rFonts w:ascii="Times New Roman" w:cs="Times New Roman" w:eastAsia="Times New Roman" w:hAnsi="Times New Roman"/>
          <w:sz w:val="17"/>
          <w:szCs w:val="17"/>
          <w:i w:val="1"/>
          <w:iCs w:val="1"/>
          <w:color w:val="auto"/>
        </w:rPr>
        <w:t>. Direction of Proceedings and Waiver of Defaults by Majority of Holders.</w:t>
      </w:r>
      <w:r>
        <w:rPr>
          <w:rFonts w:ascii="Times New Roman" w:cs="Times New Roman" w:eastAsia="Times New Roman" w:hAnsi="Times New Roman"/>
          <w:sz w:val="17"/>
          <w:szCs w:val="17"/>
          <w:color w:val="auto"/>
        </w:rPr>
        <w:t xml:space="preserve"> The Holders of a majority of the aggregate principal amount of the Notes at the time outstanding determined in accordance with Section 8.04 shall have the right to direct the time, method and place of conducting any proceeding for any remedy available to the Trustee or exercising any trust or power conferred on the Trustee with respect to the Notes;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i w:val="1"/>
          <w:iCs w:val="1"/>
          <w:color w:val="auto"/>
        </w:rPr>
        <w:t xml:space="preserve"> however</w:t>
      </w:r>
      <w:r>
        <w:rPr>
          <w:rFonts w:ascii="Times New Roman" w:cs="Times New Roman" w:eastAsia="Times New Roman" w:hAnsi="Times New Roman"/>
          <w:sz w:val="17"/>
          <w:szCs w:val="17"/>
          <w:color w:val="auto"/>
        </w:rPr>
        <w:t>, that (a) such direction shall not be in conflict with any rule of law or with this Indenture, and (b) the Trustee may take any other</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action deemed proper by the Trustee that is not inconsistent with such direction. The Trustee may refuse to follow any direction that it determines is unduly prejudicial to the rights of any other Holder (it being understood that the Trustee does not have an affirmative duty to ascertain whether or not any actions or forbearances by a Holder are prejudicial to other Holders) or that would involve the Trustee in personal liability. Prior to taking any such action hereunder, the Trustee shall be entitled to indemnification and/or security satisfactory to it against all losses, liabilities, expenses caused by taking or not taking such action. The Holders of a majority in aggregate principal amount of the Notes at the time outstanding (determined in accordance with Section 8.04 and including waivers obtained in connection with a repurchase or, or tender or exchange offer for, Notes) may on behalf of the Holders of all of the Notes waive any past Default or Event of Default hereunder and its consequences except (i) a default in the payment of accrued and unpaid interest, if any, on, or the principal (including any Redemption Price, any Repurchase Price and any Fundamental Change Repurchase Price) of, the Notes when due that has not been cured pursuant to the provisions of Section 6.01, (ii) a failure by the Company to pay or deliver, as the case may be, the consideration due upon conversion of the Notes or (iii) a default in respect of a covenant or provision hereof which under Article 10 cannot be modified or amended without the consent of each Holder of an outstanding Note affected. Upon any such waiver the Company, the Trustee and the Holders of the Notes shall be restored to their former positions and rights hereunder; but no such waiver shall extend to any subsequent or other Default or Event of Default or impair any right consequent thereon. Whenever any Default or Event of Default hereunder shall have been waived as permitted by this Section 6.09, said Default or Event of Default shall for all purposes of the Notes and this Indenture be deemed to have been cured and to be not continuing; but no such waiver shall extend to any subsequent or other Default or Event of Default or impair any right consequent thereon.</w:t>
      </w:r>
    </w:p>
    <w:p>
      <w:pPr>
        <w:spacing w:after="0" w:line="325"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39</w:t>
      </w:r>
    </w:p>
    <w:p>
      <w:pPr>
        <w:sectPr>
          <w:pgSz w:w="11900" w:h="16838" w:orient="portrait"/>
          <w:cols w:equalWidth="0" w:num="1">
            <w:col w:w="10960"/>
          </w:cols>
          <w:pgMar w:left="440" w:top="268" w:right="499" w:bottom="1440" w:gutter="0" w:footer="0" w:header="0"/>
        </w:sectPr>
      </w:pPr>
    </w:p>
    <w:bookmarkStart w:id="50" w:name="page51"/>
    <w:bookmarkEnd w:id="50"/>
    <w:p>
      <w:pPr>
        <w:ind w:firstLine="440"/>
        <w:spacing w:after="0" w:line="257"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6.10</w:t>
      </w:r>
      <w:r>
        <w:rPr>
          <w:rFonts w:ascii="Times New Roman" w:cs="Times New Roman" w:eastAsia="Times New Roman" w:hAnsi="Times New Roman"/>
          <w:sz w:val="18"/>
          <w:szCs w:val="18"/>
          <w:i w:val="1"/>
          <w:iCs w:val="1"/>
          <w:color w:val="auto"/>
        </w:rPr>
        <w:t>. Notice of Defaults.</w:t>
      </w:r>
      <w:r>
        <w:rPr>
          <w:rFonts w:ascii="Times New Roman" w:cs="Times New Roman" w:eastAsia="Times New Roman" w:hAnsi="Times New Roman"/>
          <w:sz w:val="18"/>
          <w:szCs w:val="18"/>
          <w:color w:val="auto"/>
        </w:rPr>
        <w:t xml:space="preserve"> The Trustee shall, within 90 days after the occurrence and continuance of a Default of which a Responsible Officer has actual knowledge, deliver to all Holders notice of all Defaults known to a Responsible Officer, unless such Defaults shall have been cured or waived before the giving of such notice;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except in the case of a Default in the payment of the principal of (including the Redemption Price, the Repurchase Price and the Fundamental Change Repurchase Price, if applicable), or accrued and unpaid interest on, any of the Notes or a Default in the payment or delivery of the consideration due upon conversion, the Trustee shall be protected in withholding such notice if and so long as a committee of Responsible Officers of the Trustee in good faith determines that the withholding of such notice is in the interests of the Holders.</w:t>
      </w:r>
    </w:p>
    <w:p>
      <w:pPr>
        <w:spacing w:after="0" w:line="182" w:lineRule="exact"/>
        <w:rPr>
          <w:sz w:val="20"/>
          <w:szCs w:val="20"/>
          <w:color w:val="auto"/>
        </w:rPr>
      </w:pPr>
    </w:p>
    <w:p>
      <w:pPr>
        <w:ind w:firstLine="440"/>
        <w:spacing w:after="0" w:line="255" w:lineRule="auto"/>
        <w:rPr>
          <w:sz w:val="20"/>
          <w:szCs w:val="20"/>
          <w:color w:val="auto"/>
        </w:rPr>
      </w:pPr>
      <w:r>
        <w:rPr>
          <w:rFonts w:ascii="Times New Roman" w:cs="Times New Roman" w:eastAsia="Times New Roman" w:hAnsi="Times New Roman"/>
          <w:sz w:val="18"/>
          <w:szCs w:val="18"/>
          <w:color w:val="auto"/>
        </w:rPr>
        <w:t>Section 6.11</w:t>
      </w:r>
      <w:r>
        <w:rPr>
          <w:rFonts w:ascii="Times New Roman" w:cs="Times New Roman" w:eastAsia="Times New Roman" w:hAnsi="Times New Roman"/>
          <w:sz w:val="18"/>
          <w:szCs w:val="18"/>
          <w:i w:val="1"/>
          <w:iCs w:val="1"/>
          <w:color w:val="auto"/>
        </w:rPr>
        <w:t>. Undertaking to Pay Costs.</w:t>
      </w:r>
      <w:r>
        <w:rPr>
          <w:rFonts w:ascii="Times New Roman" w:cs="Times New Roman" w:eastAsia="Times New Roman" w:hAnsi="Times New Roman"/>
          <w:sz w:val="18"/>
          <w:szCs w:val="18"/>
          <w:color w:val="auto"/>
        </w:rPr>
        <w:t xml:space="preserve"> All parties to this Indenture agree, and each Holder of any Note by its acceptance thereof shall be deemed to have agreed, that any court may, in its discretion, require, in any suit for the enforcement of any right or remedy under this Indenture, or in any suit against the Trustee for any action taken or omitted by it as Trustee, the filing by any party litigant in such suit of an undertaking to pay the costs of such suit and that such court may in its discretion assess reasonable costs, including reasonable attorneys’ fees and expenses, against any party litigant in such suit, having due regard to the merits and good faith of the claims or defenses made by such party litigant;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the provisions of this</w:t>
      </w:r>
    </w:p>
    <w:p>
      <w:pPr>
        <w:spacing w:after="0" w:line="1" w:lineRule="exact"/>
        <w:rPr>
          <w:sz w:val="20"/>
          <w:szCs w:val="20"/>
          <w:color w:val="auto"/>
        </w:rPr>
      </w:pPr>
    </w:p>
    <w:p>
      <w:pPr>
        <w:spacing w:after="0" w:line="252" w:lineRule="auto"/>
        <w:rPr>
          <w:sz w:val="20"/>
          <w:szCs w:val="20"/>
          <w:color w:val="auto"/>
        </w:rPr>
      </w:pPr>
      <w:r>
        <w:rPr>
          <w:rFonts w:ascii="Times New Roman" w:cs="Times New Roman" w:eastAsia="Times New Roman" w:hAnsi="Times New Roman"/>
          <w:sz w:val="18"/>
          <w:szCs w:val="18"/>
          <w:color w:val="auto"/>
        </w:rPr>
        <w:t>Section 6.11 (to the extent permitted by law) shall not apply to any suit instituted by the Trustee, to any suit instituted by any Holder, or group of Holders, holding in the aggregate more than 10% in principal amount of the Notes at the time outstanding determined in accordance with Section 8.04, or to any suit instituted by any Holder for the enforcement of the payment of the principal of or accrued and unpaid interest, if any, on any Note (including, but not limited to, the Redemption Price, the Repurchase Price and the Fundamental Change Repurchase Price, if applicable) on or after the due date expressed or provided for in such Note or to any suit for the enforcement of the right to convert any Note, or receive the consideration due upon conversion, in accordance with the provisions of Article 14.</w:t>
      </w:r>
    </w:p>
    <w:p>
      <w:pPr>
        <w:spacing w:after="0" w:line="19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ARTICLE 7</w:t>
      </w:r>
    </w:p>
    <w:p>
      <w:pPr>
        <w:spacing w:after="0" w:line="2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C</w:t>
      </w:r>
      <w:r>
        <w:rPr>
          <w:rFonts w:ascii="Times New Roman" w:cs="Times New Roman" w:eastAsia="Times New Roman" w:hAnsi="Times New Roman"/>
          <w:sz w:val="14"/>
          <w:szCs w:val="14"/>
          <w:color w:val="auto"/>
        </w:rPr>
        <w:t>ONCERNING THE</w:t>
      </w:r>
      <w:r>
        <w:rPr>
          <w:rFonts w:ascii="Times New Roman" w:cs="Times New Roman" w:eastAsia="Times New Roman" w:hAnsi="Times New Roman"/>
          <w:sz w:val="18"/>
          <w:szCs w:val="18"/>
          <w:color w:val="auto"/>
        </w:rPr>
        <w:t xml:space="preserve"> T</w:t>
      </w:r>
      <w:r>
        <w:rPr>
          <w:rFonts w:ascii="Times New Roman" w:cs="Times New Roman" w:eastAsia="Times New Roman" w:hAnsi="Times New Roman"/>
          <w:sz w:val="14"/>
          <w:szCs w:val="14"/>
          <w:color w:val="auto"/>
        </w:rPr>
        <w:t>RUSTEE</w:t>
      </w:r>
    </w:p>
    <w:p>
      <w:pPr>
        <w:spacing w:after="0" w:line="205" w:lineRule="exact"/>
        <w:rPr>
          <w:sz w:val="20"/>
          <w:szCs w:val="20"/>
          <w:color w:val="auto"/>
        </w:rPr>
      </w:pPr>
    </w:p>
    <w:p>
      <w:pPr>
        <w:ind w:right="40" w:firstLine="440"/>
        <w:spacing w:after="0" w:line="256" w:lineRule="auto"/>
        <w:rPr>
          <w:sz w:val="20"/>
          <w:szCs w:val="20"/>
          <w:color w:val="auto"/>
        </w:rPr>
      </w:pPr>
      <w:r>
        <w:rPr>
          <w:rFonts w:ascii="Times New Roman" w:cs="Times New Roman" w:eastAsia="Times New Roman" w:hAnsi="Times New Roman"/>
          <w:sz w:val="18"/>
          <w:szCs w:val="18"/>
          <w:color w:val="auto"/>
        </w:rPr>
        <w:t>Section 7.01</w:t>
      </w:r>
      <w:r>
        <w:rPr>
          <w:rFonts w:ascii="Times New Roman" w:cs="Times New Roman" w:eastAsia="Times New Roman" w:hAnsi="Times New Roman"/>
          <w:sz w:val="18"/>
          <w:szCs w:val="18"/>
          <w:i w:val="1"/>
          <w:iCs w:val="1"/>
          <w:color w:val="auto"/>
        </w:rPr>
        <w:t>. Duties and Responsibilities of Trustee.</w:t>
      </w:r>
      <w:r>
        <w:rPr>
          <w:rFonts w:ascii="Times New Roman" w:cs="Times New Roman" w:eastAsia="Times New Roman" w:hAnsi="Times New Roman"/>
          <w:sz w:val="18"/>
          <w:szCs w:val="18"/>
          <w:color w:val="auto"/>
        </w:rPr>
        <w:t xml:space="preserve"> The Trustee, prior to the occurrence of an Event of Default and after the curing or waiver of all Events of Default that may have occurred, undertakes to perform such duties and only such duties as are specifically set forth in this Indenture. In the event an Event of Default has occurred and is continuing, the Trustee shall exercise such of the rights and powers vested in it by this Indenture, and use the same degree of care and skill in its exercise, as a prudent person would exercise or use under the circumstances in the conduct of such person’s own affairs;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if an Event of Default occurs and is continuing, the Trustee will be under no obligation to exercise any of the rights or powers under this Indenture at the request or direction of any of the Holders unless such Holders have offered to the Trustee indemnity and/or security satisfactory to it against any loss, liability or expense that might be incurred by it in compliance with such request or direction.</w:t>
      </w:r>
    </w:p>
    <w:p>
      <w:pPr>
        <w:spacing w:after="0" w:line="11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40</w:t>
      </w:r>
    </w:p>
    <w:p>
      <w:pPr>
        <w:sectPr>
          <w:pgSz w:w="11900" w:h="16838" w:orient="portrait"/>
          <w:cols w:equalWidth="0" w:num="1">
            <w:col w:w="11000"/>
          </w:cols>
          <w:pgMar w:left="440" w:top="268" w:right="459" w:bottom="1440" w:gutter="0" w:footer="0" w:header="0"/>
        </w:sectPr>
      </w:pPr>
    </w:p>
    <w:bookmarkStart w:id="51" w:name="page52"/>
    <w:bookmarkEnd w:id="51"/>
    <w:p>
      <w:pPr>
        <w:ind w:firstLine="440"/>
        <w:spacing w:after="0" w:line="28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No provision of this Indenture shall be construed to relieve the Trustee from liability for its own grossly negligent action, its own grossly negligent failure to act or its own willful misconduct, except that:</w:t>
      </w:r>
    </w:p>
    <w:p>
      <w:pPr>
        <w:spacing w:after="0" w:line="162" w:lineRule="exact"/>
        <w:rPr>
          <w:sz w:val="20"/>
          <w:szCs w:val="20"/>
          <w:color w:val="auto"/>
        </w:rPr>
      </w:pPr>
    </w:p>
    <w:p>
      <w:pPr>
        <w:ind w:left="680" w:hanging="244"/>
        <w:spacing w:after="0"/>
        <w:tabs>
          <w:tab w:leader="none" w:pos="680" w:val="left"/>
        </w:tabs>
        <w:numPr>
          <w:ilvl w:val="0"/>
          <w:numId w:val="2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prior to the occurrence of an Event of Default and after the curing or waiving of all Events of Default that may have occurred:</w:t>
      </w:r>
    </w:p>
    <w:p>
      <w:pPr>
        <w:spacing w:after="0" w:line="117" w:lineRule="exact"/>
        <w:rPr>
          <w:rFonts w:ascii="Times New Roman" w:cs="Times New Roman" w:eastAsia="Times New Roman" w:hAnsi="Times New Roman"/>
          <w:sz w:val="18"/>
          <w:szCs w:val="18"/>
          <w:color w:val="auto"/>
        </w:rPr>
      </w:pPr>
    </w:p>
    <w:p>
      <w:pPr>
        <w:ind w:left="440" w:right="160" w:firstLine="419"/>
        <w:spacing w:after="0" w:line="266" w:lineRule="auto"/>
        <w:tabs>
          <w:tab w:leader="none" w:pos="1078" w:val="left"/>
        </w:tabs>
        <w:numPr>
          <w:ilvl w:val="1"/>
          <w:numId w:val="2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duties and obligations of the Trustee shall be determined solely by the express provisions of this Indenture, and the Trustee shall not be liable except for the performance of such duties and obligations as are specifically set forth in this Indenture and no implied covenants or obligations shall be read into this Indenture against the Trustee; and</w:t>
      </w:r>
    </w:p>
    <w:p>
      <w:pPr>
        <w:spacing w:after="0" w:line="67" w:lineRule="exact"/>
        <w:rPr>
          <w:rFonts w:ascii="Times New Roman" w:cs="Times New Roman" w:eastAsia="Times New Roman" w:hAnsi="Times New Roman"/>
          <w:sz w:val="18"/>
          <w:szCs w:val="18"/>
          <w:color w:val="auto"/>
        </w:rPr>
      </w:pPr>
    </w:p>
    <w:p>
      <w:pPr>
        <w:ind w:left="440" w:right="120" w:firstLine="419"/>
        <w:spacing w:after="0" w:line="258" w:lineRule="auto"/>
        <w:tabs>
          <w:tab w:leader="none" w:pos="1128" w:val="left"/>
        </w:tabs>
        <w:numPr>
          <w:ilvl w:val="1"/>
          <w:numId w:val="2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absence of bad faith and/or willful misconduct on the part of the Trustee, the Trustee may conclusively rely, as to the truth of the statements and the correctness of the opinions expressed therein, upon any certificates or opinions furnished to the Trustee and conforming to the requirements of this Indenture; but, in the case of any such certificates or opinions that by any provisions hereof are specifically required to be furnished to the Trustee, the Trustee shall be under a duty to examine the same to determine whether or not they conform to the requirements of this Indenture (but need not confirm or investigate the accuracy of any mathematical calculations or other facts stated therein);</w:t>
      </w:r>
    </w:p>
    <w:p>
      <w:pPr>
        <w:spacing w:after="0" w:line="183" w:lineRule="exact"/>
        <w:rPr>
          <w:rFonts w:ascii="Times New Roman" w:cs="Times New Roman" w:eastAsia="Times New Roman" w:hAnsi="Times New Roman"/>
          <w:sz w:val="18"/>
          <w:szCs w:val="18"/>
          <w:color w:val="auto"/>
        </w:rPr>
      </w:pPr>
    </w:p>
    <w:p>
      <w:pPr>
        <w:ind w:right="140" w:firstLine="436"/>
        <w:spacing w:after="0" w:line="282" w:lineRule="auto"/>
        <w:tabs>
          <w:tab w:leader="none" w:pos="695" w:val="left"/>
        </w:tabs>
        <w:numPr>
          <w:ilvl w:val="0"/>
          <w:numId w:val="2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shall not be liable for any error of judgment made in good faith by a Responsible Officer or Officers of the Trustee, unless it shall be proved that the Trustee was grossly negligent in ascertaining the pertinent facts;</w:t>
      </w:r>
    </w:p>
    <w:p>
      <w:pPr>
        <w:spacing w:after="0" w:line="161" w:lineRule="exact"/>
        <w:rPr>
          <w:rFonts w:ascii="Times New Roman" w:cs="Times New Roman" w:eastAsia="Times New Roman" w:hAnsi="Times New Roman"/>
          <w:sz w:val="18"/>
          <w:szCs w:val="18"/>
          <w:color w:val="auto"/>
        </w:rPr>
      </w:pPr>
    </w:p>
    <w:p>
      <w:pPr>
        <w:ind w:firstLine="436"/>
        <w:spacing w:after="0" w:line="261" w:lineRule="auto"/>
        <w:tabs>
          <w:tab w:leader="none" w:pos="685" w:val="left"/>
        </w:tabs>
        <w:numPr>
          <w:ilvl w:val="0"/>
          <w:numId w:val="2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shall not be liable with respect to any action taken or omitted to be taken by it in good faith in accordance with the written direction of the Holders of not less than a majority of the aggregate principal amount of the Notes at the time outstanding determined as provided in Section 8.04 relating to the time, method and place of conducting any proceeding for any remedy available to the Trustee, or exercising any trust or power conferred upon the Trustee, under this Indenture;</w:t>
      </w:r>
    </w:p>
    <w:p>
      <w:pPr>
        <w:spacing w:after="0" w:line="179" w:lineRule="exact"/>
        <w:rPr>
          <w:rFonts w:ascii="Times New Roman" w:cs="Times New Roman" w:eastAsia="Times New Roman" w:hAnsi="Times New Roman"/>
          <w:sz w:val="18"/>
          <w:szCs w:val="18"/>
          <w:color w:val="auto"/>
        </w:rPr>
      </w:pPr>
    </w:p>
    <w:p>
      <w:pPr>
        <w:ind w:right="20" w:firstLine="436"/>
        <w:spacing w:after="0" w:line="282" w:lineRule="auto"/>
        <w:tabs>
          <w:tab w:leader="none" w:pos="695" w:val="left"/>
        </w:tabs>
        <w:numPr>
          <w:ilvl w:val="0"/>
          <w:numId w:val="2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whether or not therein provided, every provision of this Indenture relating to the conduct or affecting the liability of, or affording protection to, the Trustee shall be subject to the provisions of this Section;</w:t>
      </w:r>
    </w:p>
    <w:p>
      <w:pPr>
        <w:spacing w:after="0" w:line="161" w:lineRule="exact"/>
        <w:rPr>
          <w:rFonts w:ascii="Times New Roman" w:cs="Times New Roman" w:eastAsia="Times New Roman" w:hAnsi="Times New Roman"/>
          <w:sz w:val="18"/>
          <w:szCs w:val="18"/>
          <w:color w:val="auto"/>
        </w:rPr>
      </w:pPr>
    </w:p>
    <w:p>
      <w:pPr>
        <w:ind w:right="40" w:firstLine="436"/>
        <w:spacing w:after="0" w:line="282" w:lineRule="auto"/>
        <w:tabs>
          <w:tab w:leader="none" w:pos="685" w:val="left"/>
        </w:tabs>
        <w:numPr>
          <w:ilvl w:val="0"/>
          <w:numId w:val="2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shall not be liable in respect of any payment (as to the correctness of amount, entitlement to receive or any other matters relating to payment) or notice effected by the Company or any Paying Agent or any records maintained by any co-Note Registrar with respect to the Notes;</w:t>
      </w:r>
    </w:p>
    <w:p>
      <w:pPr>
        <w:spacing w:after="0" w:line="9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41</w:t>
      </w:r>
    </w:p>
    <w:p>
      <w:pPr>
        <w:sectPr>
          <w:pgSz w:w="11900" w:h="16838" w:orient="portrait"/>
          <w:cols w:equalWidth="0" w:num="1">
            <w:col w:w="11000"/>
          </w:cols>
          <w:pgMar w:left="440" w:top="270" w:right="459" w:bottom="1440" w:gutter="0" w:footer="0" w:header="0"/>
        </w:sectPr>
      </w:pPr>
    </w:p>
    <w:bookmarkStart w:id="52" w:name="page53"/>
    <w:bookmarkEnd w:id="52"/>
    <w:p>
      <w:pPr>
        <w:jc w:val="both"/>
        <w:ind w:right="200" w:firstLine="436"/>
        <w:spacing w:after="0" w:line="266" w:lineRule="auto"/>
        <w:tabs>
          <w:tab w:leader="none" w:pos="665" w:val="left"/>
        </w:tabs>
        <w:numPr>
          <w:ilvl w:val="0"/>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if any party fails to deliver a notice relating to an event the fact of which, pursuant to this Indenture, requires notice to be sent to the Trustee, the Trustee may conclusively rely on its failure to receive such notice as reason to act as if no such event occurred, unless a Responsible Officer of the Trustee had actual knowledge of such event;</w:t>
      </w:r>
    </w:p>
    <w:p>
      <w:pPr>
        <w:spacing w:after="0" w:line="175" w:lineRule="exact"/>
        <w:rPr>
          <w:rFonts w:ascii="Times New Roman" w:cs="Times New Roman" w:eastAsia="Times New Roman" w:hAnsi="Times New Roman"/>
          <w:sz w:val="18"/>
          <w:szCs w:val="18"/>
          <w:color w:val="auto"/>
        </w:rPr>
      </w:pPr>
    </w:p>
    <w:p>
      <w:pPr>
        <w:ind w:firstLine="436"/>
        <w:spacing w:after="0" w:line="258" w:lineRule="auto"/>
        <w:tabs>
          <w:tab w:leader="none" w:pos="695" w:val="left"/>
        </w:tabs>
        <w:numPr>
          <w:ilvl w:val="0"/>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absence of written investment direction from the Company, all cash received by the Trustee shall be placed in a non-interest bearing trust account, and in no event shall the Trustee be liable for the selection of investments or for investment losses, fees, taxes or other charges incurred thereon or for losses incurred as a result of the liquidation of any such investment prior to its maturity date or the failure of the party directing such investments prior to its maturity date or the failure of the party directing such investment to provide timely written investment direction, and the Trustee shall have no obligation to invest or reinvest any amounts held hereunder in the absence of such written investment direction from the Company;</w:t>
      </w:r>
    </w:p>
    <w:p>
      <w:pPr>
        <w:spacing w:after="0" w:line="183" w:lineRule="exact"/>
        <w:rPr>
          <w:rFonts w:ascii="Times New Roman" w:cs="Times New Roman" w:eastAsia="Times New Roman" w:hAnsi="Times New Roman"/>
          <w:sz w:val="18"/>
          <w:szCs w:val="18"/>
          <w:color w:val="auto"/>
        </w:rPr>
      </w:pPr>
    </w:p>
    <w:p>
      <w:pPr>
        <w:ind w:firstLine="436"/>
        <w:spacing w:after="0" w:line="266" w:lineRule="auto"/>
        <w:tabs>
          <w:tab w:leader="none" w:pos="695" w:val="left"/>
        </w:tabs>
        <w:numPr>
          <w:ilvl w:val="0"/>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event that the Trustee is also acting as Custodian, Note Registrar, Paying Agent, Conversion Agent or transfer agent hereunder, the rights and protections afforded to the Trustee pursuant to this Article 7 shall also be afforded to such Custodian, Note Registrar, Paying Agent, Conversion Agent or transfer agent; and</w:t>
      </w:r>
    </w:p>
    <w:p>
      <w:pPr>
        <w:spacing w:after="0" w:line="175" w:lineRule="exact"/>
        <w:rPr>
          <w:rFonts w:ascii="Times New Roman" w:cs="Times New Roman" w:eastAsia="Times New Roman" w:hAnsi="Times New Roman"/>
          <w:sz w:val="18"/>
          <w:szCs w:val="18"/>
          <w:color w:val="auto"/>
        </w:rPr>
      </w:pPr>
    </w:p>
    <w:p>
      <w:pPr>
        <w:jc w:val="both"/>
        <w:ind w:right="20" w:firstLine="436"/>
        <w:spacing w:after="0" w:line="266" w:lineRule="auto"/>
        <w:tabs>
          <w:tab w:leader="none" w:pos="655" w:val="left"/>
        </w:tabs>
        <w:numPr>
          <w:ilvl w:val="0"/>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rights, privileges, immunities, benefits and protections afforded to the Trustee pursuant to this Article 7 shall also be afforded to the Trustee in each of its capacities hereunder, and each agent, custodian, and other Person employed to act hereunder, including, without limitation, in its capacities as Custodian, Note Registrar, Paying Agent, Conversion Agent or transfer agent hereunder;</w:t>
      </w:r>
    </w:p>
    <w:p>
      <w:pPr>
        <w:spacing w:after="0" w:line="176" w:lineRule="exact"/>
        <w:rPr>
          <w:sz w:val="20"/>
          <w:szCs w:val="20"/>
          <w:color w:val="auto"/>
        </w:rPr>
      </w:pPr>
    </w:p>
    <w:p>
      <w:pPr>
        <w:ind w:right="220" w:firstLine="440"/>
        <w:spacing w:after="0" w:line="282" w:lineRule="auto"/>
        <w:rPr>
          <w:sz w:val="20"/>
          <w:szCs w:val="20"/>
          <w:color w:val="auto"/>
        </w:rPr>
      </w:pPr>
      <w:r>
        <w:rPr>
          <w:rFonts w:ascii="Times New Roman" w:cs="Times New Roman" w:eastAsia="Times New Roman" w:hAnsi="Times New Roman"/>
          <w:sz w:val="18"/>
          <w:szCs w:val="18"/>
          <w:color w:val="auto"/>
        </w:rPr>
        <w:t>None of the provisions contained in this Indenture shall require the Trustee to expend or risk its own funds or otherwise incur personal financial liability in the performance of any of its duties or in the exercise of any of its rights or powers.</w:t>
      </w:r>
    </w:p>
    <w:p>
      <w:pPr>
        <w:spacing w:after="0" w:line="160"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Section 7.02</w:t>
      </w:r>
      <w:r>
        <w:rPr>
          <w:rFonts w:ascii="Times New Roman" w:cs="Times New Roman" w:eastAsia="Times New Roman" w:hAnsi="Times New Roman"/>
          <w:sz w:val="18"/>
          <w:szCs w:val="18"/>
          <w:i w:val="1"/>
          <w:iCs w:val="1"/>
          <w:color w:val="auto"/>
        </w:rPr>
        <w:t>. Reliance on Documents, Opinions, Etc.</w:t>
      </w:r>
      <w:r>
        <w:rPr>
          <w:rFonts w:ascii="Times New Roman" w:cs="Times New Roman" w:eastAsia="Times New Roman" w:hAnsi="Times New Roman"/>
          <w:sz w:val="18"/>
          <w:szCs w:val="18"/>
          <w:color w:val="auto"/>
        </w:rPr>
        <w:t xml:space="preserve"> Except as otherwise provided in Section 7.01:</w:t>
      </w:r>
    </w:p>
    <w:p>
      <w:pPr>
        <w:spacing w:after="0" w:line="227" w:lineRule="exact"/>
        <w:rPr>
          <w:sz w:val="20"/>
          <w:szCs w:val="20"/>
          <w:color w:val="auto"/>
        </w:rPr>
      </w:pPr>
    </w:p>
    <w:p>
      <w:pPr>
        <w:ind w:right="80" w:firstLine="436"/>
        <w:spacing w:after="0" w:line="266" w:lineRule="auto"/>
        <w:tabs>
          <w:tab w:leader="none" w:pos="685" w:val="left"/>
        </w:tabs>
        <w:numPr>
          <w:ilvl w:val="0"/>
          <w:numId w:val="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may conclusively rely and shall be fully protected in acting upon any resolution, certificate, statement, instrument, opinion, report, notice, request, consent, order, bond, note, coupon or other paper or document believed by it in good faith to be genuine and to have been signed or presented by the proper party or parties;</w:t>
      </w:r>
    </w:p>
    <w:p>
      <w:pPr>
        <w:spacing w:after="0" w:line="175" w:lineRule="exact"/>
        <w:rPr>
          <w:rFonts w:ascii="Times New Roman" w:cs="Times New Roman" w:eastAsia="Times New Roman" w:hAnsi="Times New Roman"/>
          <w:sz w:val="18"/>
          <w:szCs w:val="18"/>
          <w:color w:val="auto"/>
        </w:rPr>
      </w:pPr>
    </w:p>
    <w:p>
      <w:pPr>
        <w:ind w:right="260" w:firstLine="436"/>
        <w:spacing w:after="0" w:line="266" w:lineRule="auto"/>
        <w:tabs>
          <w:tab w:leader="none" w:pos="695" w:val="left"/>
        </w:tabs>
        <w:numPr>
          <w:ilvl w:val="0"/>
          <w:numId w:val="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request, direction, order or demand of the Company mentioned herein shall be sufficiently evidenced by an Officer’s Certificate (unless other evidence in respect thereof be herein specifically prescribed); and any Board Resolution may be evidenced to the Trustee by a copy thereof certified by the Secretary or an Assistant Secretary of the Company;</w:t>
      </w:r>
    </w:p>
    <w:p>
      <w:pPr>
        <w:spacing w:after="0" w:line="175" w:lineRule="exact"/>
        <w:rPr>
          <w:rFonts w:ascii="Times New Roman" w:cs="Times New Roman" w:eastAsia="Times New Roman" w:hAnsi="Times New Roman"/>
          <w:sz w:val="18"/>
          <w:szCs w:val="18"/>
          <w:color w:val="auto"/>
        </w:rPr>
      </w:pPr>
    </w:p>
    <w:p>
      <w:pPr>
        <w:ind w:right="60" w:firstLine="436"/>
        <w:spacing w:after="0" w:line="266" w:lineRule="auto"/>
        <w:tabs>
          <w:tab w:leader="none" w:pos="685" w:val="left"/>
        </w:tabs>
        <w:numPr>
          <w:ilvl w:val="0"/>
          <w:numId w:val="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may consult with counsel of its selection and require an Opinion of Counsel and any advice of such counsel or Opinion of Counsel shall be full and complete authorization and protection in respect of any action taken or omitted by it hereunder in good faith and in reliance on such advice or Opinion of Counsel;</w:t>
      </w:r>
    </w:p>
    <w:p>
      <w:pPr>
        <w:spacing w:after="0" w:line="1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42</w:t>
      </w:r>
    </w:p>
    <w:p>
      <w:pPr>
        <w:sectPr>
          <w:pgSz w:w="11900" w:h="16838" w:orient="portrait"/>
          <w:cols w:equalWidth="0" w:num="1">
            <w:col w:w="11000"/>
          </w:cols>
          <w:pgMar w:left="440" w:top="270" w:right="459" w:bottom="1440" w:gutter="0" w:footer="0" w:header="0"/>
        </w:sectPr>
      </w:pPr>
    </w:p>
    <w:bookmarkStart w:id="53" w:name="page54"/>
    <w:bookmarkEnd w:id="53"/>
    <w:p>
      <w:pPr>
        <w:ind w:right="160" w:firstLine="436"/>
        <w:spacing w:after="0" w:line="258" w:lineRule="auto"/>
        <w:tabs>
          <w:tab w:leader="none" w:pos="695" w:val="left"/>
        </w:tabs>
        <w:numPr>
          <w:ilvl w:val="0"/>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Trustee shall not be bound to make any investigation into the facts or matters stated in any resolution, certificate, statement, instrument, opinion, report, notice, request, direction, consent, order, bond, debenture or other paper or document, but the Trustee, in its discretion, may make such further inquiry or investigation into such facts or matters as it may see fit, and, if the Trustee shall determine to make such further inquiry or investigation, it shall be entitled to examine the books, records and premises of the Company, personally or by agent or attorney at the expense of the Company and shall incur no liability of any kind by reason of such inquiry or investigation;</w:t>
      </w:r>
    </w:p>
    <w:p>
      <w:pPr>
        <w:spacing w:after="0" w:line="183" w:lineRule="exact"/>
        <w:rPr>
          <w:rFonts w:ascii="Times New Roman" w:cs="Times New Roman" w:eastAsia="Times New Roman" w:hAnsi="Times New Roman"/>
          <w:sz w:val="18"/>
          <w:szCs w:val="18"/>
          <w:color w:val="auto"/>
        </w:rPr>
      </w:pPr>
    </w:p>
    <w:p>
      <w:pPr>
        <w:ind w:left="680" w:hanging="244"/>
        <w:spacing w:after="0"/>
        <w:tabs>
          <w:tab w:leader="none" w:pos="680" w:val="left"/>
        </w:tabs>
        <w:numPr>
          <w:ilvl w:val="0"/>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may execute any of the trusts or powers hereunder or perform any duties hereunder either directly or by or through agents,</w:t>
      </w:r>
    </w:p>
    <w:p>
      <w:pPr>
        <w:spacing w:after="0" w:line="27" w:lineRule="exact"/>
        <w:rPr>
          <w:rFonts w:ascii="Times New Roman" w:cs="Times New Roman" w:eastAsia="Times New Roman" w:hAnsi="Times New Roman"/>
          <w:sz w:val="18"/>
          <w:szCs w:val="18"/>
          <w:color w:val="auto"/>
        </w:rPr>
      </w:pPr>
    </w:p>
    <w:p>
      <w:pPr>
        <w:spacing w:after="0" w:line="260" w:lineRule="auto"/>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custodians, nominees or attorneys and the Trustee shall not be responsible for any misconduct or negligence on the part of any agent, custodian, nominee or attorney appointed by it with due care hereunder</w:t>
      </w:r>
    </w:p>
    <w:p>
      <w:pPr>
        <w:spacing w:after="0" w:line="181" w:lineRule="exact"/>
        <w:rPr>
          <w:rFonts w:ascii="Times New Roman" w:cs="Times New Roman" w:eastAsia="Times New Roman" w:hAnsi="Times New Roman"/>
          <w:sz w:val="18"/>
          <w:szCs w:val="18"/>
          <w:color w:val="auto"/>
        </w:rPr>
      </w:pPr>
    </w:p>
    <w:p>
      <w:pPr>
        <w:ind w:left="660" w:hanging="224"/>
        <w:spacing w:after="0"/>
        <w:tabs>
          <w:tab w:leader="none" w:pos="660" w:val="left"/>
        </w:tabs>
        <w:numPr>
          <w:ilvl w:val="0"/>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permissive rights of the Trustee enumerated herein shall not be construed as duties;</w:t>
      </w:r>
    </w:p>
    <w:p>
      <w:pPr>
        <w:spacing w:after="0" w:line="225"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shall not be required to give any bond or surety in respect of the execution of the trusts, powers, and duties under this Indenture;</w:t>
      </w:r>
    </w:p>
    <w:p>
      <w:pPr>
        <w:spacing w:after="0" w:line="225" w:lineRule="exact"/>
        <w:rPr>
          <w:rFonts w:ascii="Times New Roman" w:cs="Times New Roman" w:eastAsia="Times New Roman" w:hAnsi="Times New Roman"/>
          <w:sz w:val="18"/>
          <w:szCs w:val="18"/>
          <w:color w:val="auto"/>
        </w:rPr>
      </w:pPr>
    </w:p>
    <w:p>
      <w:pPr>
        <w:ind w:right="180" w:firstLine="436"/>
        <w:spacing w:after="0" w:line="266" w:lineRule="auto"/>
        <w:tabs>
          <w:tab w:leader="none" w:pos="695" w:val="left"/>
        </w:tabs>
        <w:numPr>
          <w:ilvl w:val="0"/>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may request that the Company deliver an Officer’s Certificate setting forth the names of individuals and/or titles of officers authorized at such time to take specified actions pursuant to this Indenture, which Officer’s Certificate may be signed by any Person authorized to sign an Officer’s Certificate, including any Person specified as so authorized in any such certificate previously delivered and not superseded;</w:t>
      </w:r>
    </w:p>
    <w:p>
      <w:pPr>
        <w:spacing w:after="0" w:line="175" w:lineRule="exact"/>
        <w:rPr>
          <w:rFonts w:ascii="Times New Roman" w:cs="Times New Roman" w:eastAsia="Times New Roman" w:hAnsi="Times New Roman"/>
          <w:sz w:val="18"/>
          <w:szCs w:val="18"/>
          <w:color w:val="auto"/>
        </w:rPr>
      </w:pPr>
    </w:p>
    <w:p>
      <w:pPr>
        <w:ind w:left="660" w:hanging="224"/>
        <w:spacing w:after="0"/>
        <w:tabs>
          <w:tab w:leader="none" w:pos="660" w:val="left"/>
        </w:tabs>
        <w:numPr>
          <w:ilvl w:val="0"/>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[reserved];</w:t>
      </w:r>
    </w:p>
    <w:p>
      <w:pPr>
        <w:spacing w:after="0" w:line="225" w:lineRule="exact"/>
        <w:rPr>
          <w:rFonts w:ascii="Times New Roman" w:cs="Times New Roman" w:eastAsia="Times New Roman" w:hAnsi="Times New Roman"/>
          <w:sz w:val="18"/>
          <w:szCs w:val="18"/>
          <w:color w:val="auto"/>
        </w:rPr>
      </w:pPr>
    </w:p>
    <w:p>
      <w:pPr>
        <w:ind w:right="160" w:firstLine="436"/>
        <w:spacing w:after="0" w:line="282" w:lineRule="auto"/>
        <w:tabs>
          <w:tab w:leader="none" w:pos="655" w:val="left"/>
        </w:tabs>
        <w:numPr>
          <w:ilvl w:val="0"/>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shall not be responsible or liable for any action it takes or omits to take in good faith which it reasonably believes to be authorized or within its rights or powers conferred upon it by this Indenture;</w:t>
      </w:r>
    </w:p>
    <w:p>
      <w:pPr>
        <w:spacing w:after="0" w:line="161" w:lineRule="exact"/>
        <w:rPr>
          <w:rFonts w:ascii="Times New Roman" w:cs="Times New Roman" w:eastAsia="Times New Roman" w:hAnsi="Times New Roman"/>
          <w:sz w:val="18"/>
          <w:szCs w:val="18"/>
          <w:color w:val="auto"/>
        </w:rPr>
      </w:pPr>
    </w:p>
    <w:p>
      <w:pPr>
        <w:ind w:right="180" w:firstLine="436"/>
        <w:spacing w:after="0" w:line="312" w:lineRule="auto"/>
        <w:tabs>
          <w:tab w:leader="none" w:pos="695" w:val="left"/>
        </w:tabs>
        <w:numPr>
          <w:ilvl w:val="0"/>
          <w:numId w:val="31"/>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before the Trustee acts or refrains from acting, it may require an Officer’s Certificate or an Opinion of Counsel or both. The Trustee shall not be responsible or liable for any action it takes, suffers or omits to take in good faith in reliance on such Officer’s Certificate or Opinion of Counsel;</w:t>
      </w:r>
    </w:p>
    <w:p>
      <w:pPr>
        <w:spacing w:after="0" w:line="139" w:lineRule="exact"/>
        <w:rPr>
          <w:rFonts w:ascii="Times New Roman" w:cs="Times New Roman" w:eastAsia="Times New Roman" w:hAnsi="Times New Roman"/>
          <w:sz w:val="17"/>
          <w:szCs w:val="17"/>
          <w:color w:val="auto"/>
        </w:rPr>
      </w:pPr>
    </w:p>
    <w:p>
      <w:pPr>
        <w:ind w:left="660" w:hanging="224"/>
        <w:spacing w:after="0"/>
        <w:tabs>
          <w:tab w:leader="none" w:pos="660" w:val="left"/>
        </w:tabs>
        <w:numPr>
          <w:ilvl w:val="0"/>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[reserved];</w:t>
      </w:r>
    </w:p>
    <w:p>
      <w:pPr>
        <w:spacing w:after="0" w:line="225" w:lineRule="exact"/>
        <w:rPr>
          <w:rFonts w:ascii="Times New Roman" w:cs="Times New Roman" w:eastAsia="Times New Roman" w:hAnsi="Times New Roman"/>
          <w:sz w:val="18"/>
          <w:szCs w:val="18"/>
          <w:color w:val="auto"/>
        </w:rPr>
      </w:pPr>
    </w:p>
    <w:p>
      <w:pPr>
        <w:ind w:right="200" w:firstLine="436"/>
        <w:spacing w:after="0" w:line="266" w:lineRule="auto"/>
        <w:tabs>
          <w:tab w:leader="none" w:pos="745" w:val="left"/>
        </w:tabs>
        <w:numPr>
          <w:ilvl w:val="0"/>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neither the Trustee nor any Agent shall have any responsibility or liability for any actions taken or not taken by the Depositary; in no event shall the Trustee be liable or responsible for any punitive, special, indirect, or any consequential loss or damage of any kind whatsoever (including but not limited to lost profits), even if the Trustee has been advised of the likelihood of such loss or damage and regardless of the form of action; and</w:t>
      </w:r>
    </w:p>
    <w:p>
      <w:pPr>
        <w:spacing w:after="0" w:line="1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43</w:t>
      </w:r>
    </w:p>
    <w:p>
      <w:pPr>
        <w:sectPr>
          <w:pgSz w:w="11900" w:h="16838" w:orient="portrait"/>
          <w:cols w:equalWidth="0" w:num="1">
            <w:col w:w="11020"/>
          </w:cols>
          <w:pgMar w:left="440" w:top="270" w:right="439" w:bottom="1440" w:gutter="0" w:footer="0" w:header="0"/>
        </w:sectPr>
      </w:pPr>
    </w:p>
    <w:bookmarkStart w:id="54" w:name="page55"/>
    <w:bookmarkEnd w:id="54"/>
    <w:p>
      <w:pPr>
        <w:ind w:right="180" w:firstLine="436"/>
        <w:spacing w:after="0" w:line="289" w:lineRule="auto"/>
        <w:tabs>
          <w:tab w:leader="none" w:pos="695" w:val="left"/>
        </w:tabs>
        <w:numPr>
          <w:ilvl w:val="0"/>
          <w:numId w:val="32"/>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3">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Trustee shall not be charged with knowledge of any Default or Event of Default with respect to the Notes, unless either (1) a Responsible Officer shall have actual knowledge of such Default or Event of Default or (2) written notice of such Default or Event of Default shall have been received by a Responsible Officer of the Trustee at the Corporate Trust Office and such notice references the Notes, the Company and this Indenture.</w:t>
      </w:r>
    </w:p>
    <w:p>
      <w:pPr>
        <w:spacing w:after="0" w:line="156" w:lineRule="exact"/>
        <w:rPr>
          <w:sz w:val="20"/>
          <w:szCs w:val="20"/>
          <w:color w:val="auto"/>
        </w:rPr>
      </w:pPr>
    </w:p>
    <w:p>
      <w:pPr>
        <w:ind w:right="160" w:firstLine="440"/>
        <w:spacing w:after="0" w:line="258" w:lineRule="auto"/>
        <w:rPr>
          <w:sz w:val="20"/>
          <w:szCs w:val="20"/>
          <w:color w:val="auto"/>
        </w:rPr>
      </w:pPr>
      <w:r>
        <w:rPr>
          <w:rFonts w:ascii="Times New Roman" w:cs="Times New Roman" w:eastAsia="Times New Roman" w:hAnsi="Times New Roman"/>
          <w:sz w:val="18"/>
          <w:szCs w:val="18"/>
          <w:color w:val="auto"/>
        </w:rPr>
        <w:t>Section 7.03</w:t>
      </w:r>
      <w:r>
        <w:rPr>
          <w:rFonts w:ascii="Times New Roman" w:cs="Times New Roman" w:eastAsia="Times New Roman" w:hAnsi="Times New Roman"/>
          <w:sz w:val="18"/>
          <w:szCs w:val="18"/>
          <w:i w:val="1"/>
          <w:iCs w:val="1"/>
          <w:color w:val="auto"/>
        </w:rPr>
        <w:t>. No Responsibility for Recitals, Etc.</w:t>
      </w:r>
      <w:r>
        <w:rPr>
          <w:rFonts w:ascii="Times New Roman" w:cs="Times New Roman" w:eastAsia="Times New Roman" w:hAnsi="Times New Roman"/>
          <w:sz w:val="18"/>
          <w:szCs w:val="18"/>
          <w:color w:val="auto"/>
        </w:rPr>
        <w:t xml:space="preserve"> The recitals contained herein and in the Notes (except in the Trustee’s certificate of authentication) shall be taken as the statements of the Company, and the Trustee assumes no responsibility for the correctness of the same. The Trustee makes no representations as to the validity or sufficiency of this Indenture or of the Notes. The Trustee shall not be accountable for the use or application by the Company of any Notes or the proceeds of any Notes authenticated and delivered by the Trustee in conformity with the provisions of this Indenture.</w:t>
      </w:r>
    </w:p>
    <w:p>
      <w:pPr>
        <w:spacing w:after="0" w:line="183" w:lineRule="exact"/>
        <w:rPr>
          <w:sz w:val="20"/>
          <w:szCs w:val="20"/>
          <w:color w:val="auto"/>
        </w:rPr>
      </w:pPr>
    </w:p>
    <w:p>
      <w:pPr>
        <w:jc w:val="both"/>
        <w:ind w:right="380" w:firstLine="440"/>
        <w:spacing w:after="0" w:line="261" w:lineRule="auto"/>
        <w:rPr>
          <w:sz w:val="20"/>
          <w:szCs w:val="20"/>
          <w:color w:val="auto"/>
        </w:rPr>
      </w:pPr>
      <w:r>
        <w:rPr>
          <w:rFonts w:ascii="Times New Roman" w:cs="Times New Roman" w:eastAsia="Times New Roman" w:hAnsi="Times New Roman"/>
          <w:sz w:val="18"/>
          <w:szCs w:val="18"/>
          <w:color w:val="auto"/>
        </w:rPr>
        <w:t>Section 7.04</w:t>
      </w:r>
      <w:r>
        <w:rPr>
          <w:rFonts w:ascii="Times New Roman" w:cs="Times New Roman" w:eastAsia="Times New Roman" w:hAnsi="Times New Roman"/>
          <w:sz w:val="18"/>
          <w:szCs w:val="18"/>
          <w:i w:val="1"/>
          <w:iCs w:val="1"/>
          <w:color w:val="auto"/>
        </w:rPr>
        <w:t>. Trustee, Paying Agents, Conversion Agents, Bid Solicitation Agent or Note Registrar May Own Notes.</w:t>
      </w:r>
      <w:r>
        <w:rPr>
          <w:rFonts w:ascii="Times New Roman" w:cs="Times New Roman" w:eastAsia="Times New Roman" w:hAnsi="Times New Roman"/>
          <w:sz w:val="18"/>
          <w:szCs w:val="18"/>
          <w:color w:val="auto"/>
        </w:rPr>
        <w:t xml:space="preserve"> The Trustee, any Paying Agent, any Conversion Agent, Bid Solicitation Agent (if other than the Company or any Affiliate thereof) or Note Registrar, in its individual or any other capacity, may become the owner or pledgee of Notes with the same rights it would have if it were not the Trustee, Paying Agent, Conversion Agent, Bid Solicitation Agent or Note Registrar.</w:t>
      </w:r>
    </w:p>
    <w:p>
      <w:pPr>
        <w:spacing w:after="0" w:line="180" w:lineRule="exact"/>
        <w:rPr>
          <w:sz w:val="20"/>
          <w:szCs w:val="20"/>
          <w:color w:val="auto"/>
        </w:rPr>
      </w:pPr>
    </w:p>
    <w:p>
      <w:pPr>
        <w:ind w:right="20" w:firstLine="440"/>
        <w:spacing w:after="0" w:line="281" w:lineRule="auto"/>
        <w:rPr>
          <w:sz w:val="20"/>
          <w:szCs w:val="20"/>
          <w:color w:val="auto"/>
        </w:rPr>
      </w:pPr>
      <w:r>
        <w:rPr>
          <w:rFonts w:ascii="Times New Roman" w:cs="Times New Roman" w:eastAsia="Times New Roman" w:hAnsi="Times New Roman"/>
          <w:sz w:val="17"/>
          <w:szCs w:val="17"/>
          <w:color w:val="auto"/>
        </w:rPr>
        <w:t>Section 7.05</w:t>
      </w:r>
      <w:r>
        <w:rPr>
          <w:rFonts w:ascii="Times New Roman" w:cs="Times New Roman" w:eastAsia="Times New Roman" w:hAnsi="Times New Roman"/>
          <w:sz w:val="17"/>
          <w:szCs w:val="17"/>
          <w:i w:val="1"/>
          <w:iCs w:val="1"/>
          <w:color w:val="auto"/>
        </w:rPr>
        <w:t>. Monies and Shares of Common Stock to Be Held in Trust.</w:t>
      </w:r>
      <w:r>
        <w:rPr>
          <w:rFonts w:ascii="Times New Roman" w:cs="Times New Roman" w:eastAsia="Times New Roman" w:hAnsi="Times New Roman"/>
          <w:sz w:val="17"/>
          <w:szCs w:val="17"/>
          <w:color w:val="auto"/>
        </w:rPr>
        <w:t xml:space="preserve"> All monies and shares of Common Stock received by the Trustee shall, until used or applied as herein provided, be held in trust for the purposes for which they were received. Money and shares of Common Stock held by the Trustee in trust hereunder need not be segregated from other funds except to the extent required by law. The Trustee shall be under no liability for interest on any money or shares of Common Stock received by it hereunder except as may be agreed from time to time by the Company and the Trustee.</w:t>
      </w:r>
    </w:p>
    <w:p>
      <w:pPr>
        <w:spacing w:after="0" w:line="164" w:lineRule="exact"/>
        <w:rPr>
          <w:sz w:val="20"/>
          <w:szCs w:val="20"/>
          <w:color w:val="auto"/>
        </w:rPr>
      </w:pPr>
    </w:p>
    <w:p>
      <w:pPr>
        <w:ind w:firstLine="440"/>
        <w:spacing w:after="0" w:line="253" w:lineRule="auto"/>
        <w:rPr>
          <w:sz w:val="20"/>
          <w:szCs w:val="20"/>
          <w:color w:val="auto"/>
        </w:rPr>
      </w:pPr>
      <w:r>
        <w:rPr>
          <w:rFonts w:ascii="Times New Roman" w:cs="Times New Roman" w:eastAsia="Times New Roman" w:hAnsi="Times New Roman"/>
          <w:sz w:val="18"/>
          <w:szCs w:val="18"/>
          <w:color w:val="auto"/>
        </w:rPr>
        <w:t>Section 7.06</w:t>
      </w:r>
      <w:r>
        <w:rPr>
          <w:rFonts w:ascii="Times New Roman" w:cs="Times New Roman" w:eastAsia="Times New Roman" w:hAnsi="Times New Roman"/>
          <w:sz w:val="18"/>
          <w:szCs w:val="18"/>
          <w:i w:val="1"/>
          <w:iCs w:val="1"/>
          <w:color w:val="auto"/>
        </w:rPr>
        <w:t>. Compensation and Expenses of Trustee.</w:t>
      </w:r>
      <w:r>
        <w:rPr>
          <w:rFonts w:ascii="Times New Roman" w:cs="Times New Roman" w:eastAsia="Times New Roman" w:hAnsi="Times New Roman"/>
          <w:sz w:val="18"/>
          <w:szCs w:val="18"/>
          <w:color w:val="auto"/>
        </w:rPr>
        <w:t xml:space="preserve"> The Company covenants and agrees to pay to the Trustee from time to time, and the Trustee shall be entitled to, reasonable compensation for all services rendered by it hereunder in any capacity (which shall not be limited by any provision of law in regard to the compensation of a trustee of an express trust) as mutually agreed to in writing between the Trustee and the Company, and the Company will pay or reimburse the Trustee upon its request for all reasonable expenses, disbursements and advances reasonably incurred or made by the Trustee in accordance with any of the provisions of this Indenture in any capacity thereunder (including the reasonable compensation and the expenses and disbursements of its agents and counsel and of all Persons not regularly in its employ) except any such expense, disbursement or advance as shall have been caused by its gross negligence or willful misconduct (as adjudicated in a final non-appealable decision by a court of competent jurisdiction). The Company also covenants to indemnify the Trustee (which for purposes of this Section 7.06 shall include its officers, directors, employees, agents, successors and assigns) in any capacity under this Indenture and any other document or transaction entered into in connection herewith and its agents and any authenticating agent for, and to hold them harmless against, any loss, claim, damage, liability or expense (including reasonable and documented out-of-pocket attorneys’ fees) incurred without gross negligence or willful misconduct on the part of the Trustee, its officers, directors, agents, employees, successors or assigns, or such agent or authenticating agent, as the case may be (as adjudicated in</w:t>
      </w:r>
    </w:p>
    <w:p>
      <w:pPr>
        <w:spacing w:after="0" w:line="12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44</w:t>
      </w:r>
    </w:p>
    <w:p>
      <w:pPr>
        <w:sectPr>
          <w:pgSz w:w="11900" w:h="16838" w:orient="portrait"/>
          <w:cols w:equalWidth="0" w:num="1">
            <w:col w:w="11000"/>
          </w:cols>
          <w:pgMar w:left="440" w:top="270" w:right="459" w:bottom="1440" w:gutter="0" w:footer="0" w:header="0"/>
        </w:sectPr>
      </w:pPr>
    </w:p>
    <w:bookmarkStart w:id="55" w:name="page56"/>
    <w:bookmarkEnd w:id="55"/>
    <w:p>
      <w:pPr>
        <w:spacing w:after="0" w:line="253"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 final non-appealable decision by a court of competent jurisdiction), and arising out of or in connection with the acceptance or administration of this Indenture or in any other capacity hereunder (whether such claims arise by or against the Company or a third person), including the costs and expenses of defending themselves against any claim of liability (including, without limitation any and all reasonable and documented out-of-pocket attorneys’ fees and expenses) or enforcing the Company’s obligations hereunder. The obligations of the Company under this Section 7.06 to compensate or indemnify the Trustee and to pay or reimburse the Trustee for expenses, disbursements and advances shall be secured by a senior claim to which the Notes are hereby made subordinate on all money or property held or collected by the Trustee, except, subject to the effect of Section 6.05, funds held in trust herewith for the benefit of the Holders of particular Notes. The Trustee’s right to receive payment of any amounts due under this Section 7.06 shall not be subordinate to any other liability or indebtedness of the Company and to secure the Company’s payment obligations under this Section 7.06, the Trustee shall have a lien prior to the Notes on all money or property held or collected by the Trustee, in its capacity as the Trustee, other than money or property held in trust to pay principal of and interest, if any, on particular Notes. The obligation of the Company under this Section 7.06 shall survive the satisfaction and discharge of this Indenture and the earlier resignation or removal of the Trustee. The Company need not pay for any settlement made without its consent, which consent shall not be unreasonably withheld. The indemnification provided in this Section 7.06 shall extend to the officers, directors, agents and employees of the Trustee and any successor Trustee hereunder.</w:t>
      </w:r>
    </w:p>
    <w:p>
      <w:pPr>
        <w:spacing w:after="0" w:line="187" w:lineRule="exact"/>
        <w:rPr>
          <w:sz w:val="20"/>
          <w:szCs w:val="20"/>
          <w:color w:val="auto"/>
        </w:rPr>
      </w:pPr>
    </w:p>
    <w:p>
      <w:pPr>
        <w:ind w:right="60" w:firstLine="440"/>
        <w:spacing w:after="0" w:line="266" w:lineRule="auto"/>
        <w:rPr>
          <w:sz w:val="20"/>
          <w:szCs w:val="20"/>
          <w:color w:val="auto"/>
        </w:rPr>
      </w:pPr>
      <w:r>
        <w:rPr>
          <w:rFonts w:ascii="Times New Roman" w:cs="Times New Roman" w:eastAsia="Times New Roman" w:hAnsi="Times New Roman"/>
          <w:sz w:val="18"/>
          <w:szCs w:val="18"/>
          <w:color w:val="auto"/>
        </w:rPr>
        <w:t>Without prejudice to any other rights available to the Trustee under applicable law, when the Trustee and its agents and any authenticating agent incur expenses or render services after an Event of Default specified in Section 6.01(h) or Section 6.01(i) occurs, the expenses and the compensation for the services are intended to constitute expenses of administration under any bankruptcy, insolvency or similar laws.</w:t>
      </w:r>
    </w:p>
    <w:p>
      <w:pPr>
        <w:spacing w:after="0" w:line="174" w:lineRule="exact"/>
        <w:rPr>
          <w:sz w:val="20"/>
          <w:szCs w:val="20"/>
          <w:color w:val="auto"/>
        </w:rPr>
      </w:pPr>
    </w:p>
    <w:p>
      <w:pPr>
        <w:ind w:firstLine="440"/>
        <w:spacing w:after="0" w:line="257" w:lineRule="auto"/>
        <w:rPr>
          <w:sz w:val="20"/>
          <w:szCs w:val="20"/>
          <w:color w:val="auto"/>
        </w:rPr>
      </w:pPr>
      <w:r>
        <w:rPr>
          <w:rFonts w:ascii="Times New Roman" w:cs="Times New Roman" w:eastAsia="Times New Roman" w:hAnsi="Times New Roman"/>
          <w:sz w:val="18"/>
          <w:szCs w:val="18"/>
          <w:color w:val="auto"/>
        </w:rPr>
        <w:t>Section 7.07</w:t>
      </w:r>
      <w:r>
        <w:rPr>
          <w:rFonts w:ascii="Times New Roman" w:cs="Times New Roman" w:eastAsia="Times New Roman" w:hAnsi="Times New Roman"/>
          <w:sz w:val="18"/>
          <w:szCs w:val="18"/>
          <w:i w:val="1"/>
          <w:iCs w:val="1"/>
          <w:color w:val="auto"/>
        </w:rPr>
        <w:t>. Officer’s Certificate as Evidence.</w:t>
      </w:r>
      <w:r>
        <w:rPr>
          <w:rFonts w:ascii="Times New Roman" w:cs="Times New Roman" w:eastAsia="Times New Roman" w:hAnsi="Times New Roman"/>
          <w:sz w:val="18"/>
          <w:szCs w:val="18"/>
          <w:color w:val="auto"/>
        </w:rPr>
        <w:t xml:space="preserve"> Except as otherwise provided in Section 7.01, whenever in the administration of the provisions of this Indenture the Trustee shall deem it necessary or desirable that a matter be proved or established prior to taking or omitting any action hereunder, such matter (unless other evidence in respect thereof be herein specifically prescribed) may, in the absence of gross negligence or willful misconduct on the part of the Trustee, be deemed to be conclusively proved and established by an Officer’s Certificate delivered to the Trustee, and such Officers’ Certificate, in the absence of gross negligence or willful misconduct on the part of the Trustee, shall be full warrant to the Trustee for any action taken or omitted by it under the provisions of this Indenture upon the faith thereof.</w:t>
      </w:r>
    </w:p>
    <w:p>
      <w:pPr>
        <w:spacing w:after="0" w:line="182" w:lineRule="exact"/>
        <w:rPr>
          <w:sz w:val="20"/>
          <w:szCs w:val="20"/>
          <w:color w:val="auto"/>
        </w:rPr>
      </w:pPr>
    </w:p>
    <w:p>
      <w:pPr>
        <w:ind w:firstLine="440"/>
        <w:spacing w:after="0" w:line="257" w:lineRule="auto"/>
        <w:rPr>
          <w:sz w:val="20"/>
          <w:szCs w:val="20"/>
          <w:color w:val="auto"/>
        </w:rPr>
      </w:pPr>
      <w:r>
        <w:rPr>
          <w:rFonts w:ascii="Times New Roman" w:cs="Times New Roman" w:eastAsia="Times New Roman" w:hAnsi="Times New Roman"/>
          <w:sz w:val="18"/>
          <w:szCs w:val="18"/>
          <w:color w:val="auto"/>
        </w:rPr>
        <w:t>Section 7.08</w:t>
      </w:r>
      <w:r>
        <w:rPr>
          <w:rFonts w:ascii="Times New Roman" w:cs="Times New Roman" w:eastAsia="Times New Roman" w:hAnsi="Times New Roman"/>
          <w:sz w:val="18"/>
          <w:szCs w:val="18"/>
          <w:i w:val="1"/>
          <w:iCs w:val="1"/>
          <w:color w:val="auto"/>
        </w:rPr>
        <w:t>. Eligibility of Trustee.</w:t>
      </w:r>
      <w:r>
        <w:rPr>
          <w:rFonts w:ascii="Times New Roman" w:cs="Times New Roman" w:eastAsia="Times New Roman" w:hAnsi="Times New Roman"/>
          <w:sz w:val="18"/>
          <w:szCs w:val="18"/>
          <w:color w:val="auto"/>
        </w:rPr>
        <w:t xml:space="preserve"> There shall at all times be a Trustee hereunder which shall be a Person that is eligible pursuant to the Trust Indenture Act (as if the Trust Indenture Act were applicable hereto) to act as such and has a combined capital and surplus of at least $50,000,000. If such Person publishes reports of condition at least annually, pursuant to law or to the requirements of any supervising or examining authority, then for the purposes of this Section, the combined capital and surplus of such Person shall be deemed to be its combined capital and surplus as set forth in its most recent report of condition so published. If at any time the Trustee shall cease to be eligible in accordance with the provisions of this Section, it shall resign immediately in the manner and with the effect hereinafter specified in this Article.</w:t>
      </w:r>
    </w:p>
    <w:p>
      <w:pPr>
        <w:spacing w:after="0" w:line="11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45</w:t>
      </w:r>
    </w:p>
    <w:p>
      <w:pPr>
        <w:sectPr>
          <w:pgSz w:w="11900" w:h="16838" w:orient="portrait"/>
          <w:cols w:equalWidth="0" w:num="1">
            <w:col w:w="11000"/>
          </w:cols>
          <w:pgMar w:left="440" w:top="270" w:right="459" w:bottom="1440" w:gutter="0" w:footer="0" w:header="0"/>
        </w:sectPr>
      </w:pPr>
    </w:p>
    <w:bookmarkStart w:id="56" w:name="page57"/>
    <w:bookmarkEnd w:id="56"/>
    <w:p>
      <w:pPr>
        <w:ind w:firstLine="440"/>
        <w:spacing w:after="0" w:line="254"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7.09</w:t>
      </w:r>
      <w:r>
        <w:rPr>
          <w:rFonts w:ascii="Times New Roman" w:cs="Times New Roman" w:eastAsia="Times New Roman" w:hAnsi="Times New Roman"/>
          <w:sz w:val="18"/>
          <w:szCs w:val="18"/>
          <w:i w:val="1"/>
          <w:iCs w:val="1"/>
          <w:color w:val="auto"/>
        </w:rPr>
        <w:t>. Resignation or Removal of Trustee.</w:t>
      </w:r>
      <w:r>
        <w:rPr>
          <w:rFonts w:ascii="Times New Roman" w:cs="Times New Roman" w:eastAsia="Times New Roman" w:hAnsi="Times New Roman"/>
          <w:sz w:val="18"/>
          <w:szCs w:val="18"/>
          <w:color w:val="auto"/>
        </w:rPr>
        <w:t xml:space="preserve"> (a) The Trustee may at any time resign by giving written notice of such resignation to the Company and by delivering notice thereof to the Holders. Upon receiving such notice of resignation, the Company shall promptly appoint a successor trustee by written instrument, in duplicate, executed by order of the Board of Directors, one copy of which instrument shall be delivered to the resigning Trustee and one copy to the successor trustee. If no successor trustee shall have been so appointed and have accepted appointment within 60 days after the giving of such notice of resignation to the Holders, the resigning Trustee may, at the expense of the Company, upon ten Business Days’ notice to the Company and the Holders, petition any court of competent jurisdiction for the appointment of a successor trustee, or any Holder who has been a bona fide holder of a Note or Notes for at least six months (or since the date of this Indenture) may, subject to the provisions of Section 6.11, on behalf of himself or herself and all others similarly situated, petition any such court for the appointment of a successor trustee. Such court may thereupon, after such notice, if any, as it may deem proper and prescribe, appoint a successor trustee.</w:t>
      </w:r>
    </w:p>
    <w:p>
      <w:pPr>
        <w:spacing w:after="0" w:line="190" w:lineRule="exact"/>
        <w:rPr>
          <w:sz w:val="20"/>
          <w:szCs w:val="20"/>
          <w:color w:val="auto"/>
        </w:rPr>
      </w:pPr>
    </w:p>
    <w:p>
      <w:pPr>
        <w:ind w:left="700" w:hanging="264"/>
        <w:spacing w:after="0"/>
        <w:tabs>
          <w:tab w:leader="none" w:pos="700" w:val="left"/>
        </w:tabs>
        <w:numPr>
          <w:ilvl w:val="0"/>
          <w:numId w:val="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case at any time any of the following shall occur:</w:t>
      </w:r>
    </w:p>
    <w:p>
      <w:pPr>
        <w:spacing w:after="0" w:line="117" w:lineRule="exact"/>
        <w:rPr>
          <w:rFonts w:ascii="Times New Roman" w:cs="Times New Roman" w:eastAsia="Times New Roman" w:hAnsi="Times New Roman"/>
          <w:sz w:val="18"/>
          <w:szCs w:val="18"/>
          <w:color w:val="auto"/>
        </w:rPr>
      </w:pPr>
    </w:p>
    <w:p>
      <w:pPr>
        <w:ind w:left="440" w:right="540" w:firstLine="419"/>
        <w:spacing w:after="0" w:line="282" w:lineRule="auto"/>
        <w:tabs>
          <w:tab w:leader="none" w:pos="1078" w:val="left"/>
        </w:tabs>
        <w:numPr>
          <w:ilvl w:val="1"/>
          <w:numId w:val="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shall cease to be eligible in accordance with the provisions of Section 7.08 and shall fail to resign after written request therefor by the Company or by any such Holder, or</w:t>
      </w:r>
    </w:p>
    <w:p>
      <w:pPr>
        <w:spacing w:after="0" w:line="53" w:lineRule="exact"/>
        <w:rPr>
          <w:rFonts w:ascii="Times New Roman" w:cs="Times New Roman" w:eastAsia="Times New Roman" w:hAnsi="Times New Roman"/>
          <w:sz w:val="18"/>
          <w:szCs w:val="18"/>
          <w:color w:val="auto"/>
        </w:rPr>
      </w:pPr>
    </w:p>
    <w:p>
      <w:pPr>
        <w:ind w:left="440" w:right="100" w:firstLine="419"/>
        <w:spacing w:after="0" w:line="266" w:lineRule="auto"/>
        <w:tabs>
          <w:tab w:leader="none" w:pos="1128" w:val="left"/>
        </w:tabs>
        <w:numPr>
          <w:ilvl w:val="1"/>
          <w:numId w:val="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shall become incapable of acting, or shall be adjudged a bankrupt or insolvent, or a receiver of the Trustee or of its property shall be appointed, or any public officer shall take charge or control of the Trustee or of its property or affairs for the purpose of rehabilitation, conservation or liquidation,</w:t>
      </w:r>
    </w:p>
    <w:p>
      <w:pPr>
        <w:spacing w:after="0" w:line="176" w:lineRule="exact"/>
        <w:rPr>
          <w:sz w:val="20"/>
          <w:szCs w:val="20"/>
          <w:color w:val="auto"/>
        </w:rPr>
      </w:pPr>
    </w:p>
    <w:p>
      <w:pPr>
        <w:ind w:right="60"/>
        <w:spacing w:after="0" w:line="256" w:lineRule="auto"/>
        <w:rPr>
          <w:sz w:val="20"/>
          <w:szCs w:val="20"/>
          <w:color w:val="auto"/>
        </w:rPr>
      </w:pPr>
      <w:r>
        <w:rPr>
          <w:rFonts w:ascii="Times New Roman" w:cs="Times New Roman" w:eastAsia="Times New Roman" w:hAnsi="Times New Roman"/>
          <w:sz w:val="18"/>
          <w:szCs w:val="18"/>
          <w:color w:val="auto"/>
        </w:rPr>
        <w:t>then, in either case, the Company may by a Board Resolution remove the Trustee and appoint a successor trustee by written instrument, in duplicate, executed by order of the Board of Directors, one copy of which instrument shall be delivered to the Trustee so removed and one copy to the successor trustee, or, subject to the provisions of Section 6.11, any Holder who has been a bona fide holder of a Note or Notes for at least six months (or since the date of this Indenture) may, on behalf of himself or herself and all others similarly situated, petition any court of competent jurisdiction for the removal of the Trustee and the appointment of a successor trustee. Such court may thereupon, after such notice, if any, as it may deem proper and prescribe, remove the Trustee and appoint a successor trustee.</w:t>
      </w:r>
    </w:p>
    <w:p>
      <w:pPr>
        <w:spacing w:after="0" w:line="187" w:lineRule="exact"/>
        <w:rPr>
          <w:sz w:val="20"/>
          <w:szCs w:val="20"/>
          <w:color w:val="auto"/>
        </w:rPr>
      </w:pPr>
    </w:p>
    <w:p>
      <w:pPr>
        <w:ind w:right="120" w:firstLine="436"/>
        <w:spacing w:after="0" w:line="258" w:lineRule="auto"/>
        <w:tabs>
          <w:tab w:leader="none" w:pos="685" w:val="left"/>
        </w:tabs>
        <w:numPr>
          <w:ilvl w:val="0"/>
          <w:numId w:val="3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Holders of a majority in aggregate principal amount of the Notes at the time outstanding, as determined in accordance with Section 8.04, may at any time remove the Trustee and nominate a successor trustee that shall be deemed appointed as successor trustee unless within ten days after notice to the Company of such nomination the Company objects thereto, in which case the Trustee so removed or any Holder, upon the terms and conditions and otherwise as in Section 7.09(a) provided and at the expense of the Company, may petition any court of competent jurisdiction for an appointment of a successor trustee.</w:t>
      </w:r>
    </w:p>
    <w:p>
      <w:pPr>
        <w:spacing w:after="0" w:line="183" w:lineRule="exact"/>
        <w:rPr>
          <w:rFonts w:ascii="Times New Roman" w:cs="Times New Roman" w:eastAsia="Times New Roman" w:hAnsi="Times New Roman"/>
          <w:sz w:val="18"/>
          <w:szCs w:val="18"/>
          <w:color w:val="auto"/>
        </w:rPr>
      </w:pPr>
    </w:p>
    <w:p>
      <w:pPr>
        <w:ind w:right="180" w:firstLine="436"/>
        <w:spacing w:after="0" w:line="282" w:lineRule="auto"/>
        <w:tabs>
          <w:tab w:leader="none" w:pos="695" w:val="left"/>
        </w:tabs>
        <w:numPr>
          <w:ilvl w:val="0"/>
          <w:numId w:val="3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resignation or removal of the Trustee and appointment of a successor trustee pursuant to any of the provisions of this Section 7.09 shall become effective upon acceptance of appointment by the successor trustee as provided in Section 7.10.</w:t>
      </w:r>
    </w:p>
    <w:p>
      <w:pPr>
        <w:spacing w:after="0" w:line="94" w:lineRule="exact"/>
        <w:rPr>
          <w:sz w:val="20"/>
          <w:szCs w:val="20"/>
          <w:color w:val="auto"/>
        </w:rPr>
      </w:pPr>
    </w:p>
    <w:p>
      <w:pPr>
        <w:jc w:val="center"/>
        <w:ind w:right="-59"/>
        <w:spacing w:after="0"/>
        <w:rPr>
          <w:sz w:val="20"/>
          <w:szCs w:val="20"/>
          <w:color w:val="auto"/>
        </w:rPr>
      </w:pPr>
      <w:r>
        <w:rPr>
          <w:rFonts w:ascii="Times New Roman" w:cs="Times New Roman" w:eastAsia="Times New Roman" w:hAnsi="Times New Roman"/>
          <w:sz w:val="18"/>
          <w:szCs w:val="18"/>
          <w:color w:val="auto"/>
        </w:rPr>
        <w:t>46</w:t>
      </w:r>
    </w:p>
    <w:p>
      <w:pPr>
        <w:sectPr>
          <w:pgSz w:w="11900" w:h="16838" w:orient="portrait"/>
          <w:cols w:equalWidth="0" w:num="1">
            <w:col w:w="10960"/>
          </w:cols>
          <w:pgMar w:left="440" w:top="268" w:right="499" w:bottom="1440" w:gutter="0" w:footer="0" w:header="0"/>
        </w:sectPr>
      </w:pPr>
    </w:p>
    <w:bookmarkStart w:id="57" w:name="page58"/>
    <w:bookmarkEnd w:id="57"/>
    <w:p>
      <w:pPr>
        <w:ind w:right="40" w:firstLine="440"/>
        <w:spacing w:after="0" w:line="254"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7.10</w:t>
      </w:r>
      <w:r>
        <w:rPr>
          <w:rFonts w:ascii="Times New Roman" w:cs="Times New Roman" w:eastAsia="Times New Roman" w:hAnsi="Times New Roman"/>
          <w:sz w:val="18"/>
          <w:szCs w:val="18"/>
          <w:i w:val="1"/>
          <w:iCs w:val="1"/>
          <w:color w:val="auto"/>
        </w:rPr>
        <w:t>. Acceptance by Successor Trustee.</w:t>
      </w:r>
      <w:r>
        <w:rPr>
          <w:rFonts w:ascii="Times New Roman" w:cs="Times New Roman" w:eastAsia="Times New Roman" w:hAnsi="Times New Roman"/>
          <w:sz w:val="18"/>
          <w:szCs w:val="18"/>
          <w:color w:val="auto"/>
        </w:rPr>
        <w:t xml:space="preserve"> Any successor trustee appointed as provided in Section 7.09 shall execute, acknowledge and deliver to the Company and to its predecessor trustee an instrument accepting such appointment hereunder, and thereupon the resignation or removal of the predecessor trustee shall become effective and such successor trustee, without any further act, deed or conveyance, shall become vested with all the rights, powers, duties and obligations of its predecessor hereunder, with like effect as if originally named as Trustee herein; but, nevertheless, on the written request of the Company or of the successor trustee, the trustee ceasing to act shall, upon payment of any amounts then due it pursuant to the provisions of Section 7.06, execute and deliver an instrument transferring to such successor trustee all the rights and powers of the trustee so ceasing to act. Upon request of any such successor trustee, the Company shall execute any and all instruments in writing for more fully and certainly vesting in and confirming to such successor trustee all such rights and powers. Any trustee ceasing to act shall, nevertheless, retain a senior claim to which the Notes are hereby made subordinate on all money or property held or collected by such trustee as such, except for funds held in trust for the benefit of Holders of particular Notes, to secure any amounts then due it pursuant to the provisions of Section 7.06.</w:t>
      </w:r>
    </w:p>
    <w:p>
      <w:pPr>
        <w:spacing w:after="0" w:line="187" w:lineRule="exact"/>
        <w:rPr>
          <w:sz w:val="20"/>
          <w:szCs w:val="20"/>
          <w:color w:val="auto"/>
        </w:rPr>
      </w:pPr>
    </w:p>
    <w:p>
      <w:pPr>
        <w:ind w:right="20" w:firstLine="440"/>
        <w:spacing w:after="0" w:line="282" w:lineRule="auto"/>
        <w:rPr>
          <w:sz w:val="20"/>
          <w:szCs w:val="20"/>
          <w:color w:val="auto"/>
        </w:rPr>
      </w:pPr>
      <w:r>
        <w:rPr>
          <w:rFonts w:ascii="Times New Roman" w:cs="Times New Roman" w:eastAsia="Times New Roman" w:hAnsi="Times New Roman"/>
          <w:sz w:val="18"/>
          <w:szCs w:val="18"/>
          <w:color w:val="auto"/>
        </w:rPr>
        <w:t>No successor trustee shall accept appointment as provided in this Section 7.10 unless at the time of such acceptance such successor trustee shall be eligible under the provisions of Section 7.08.</w:t>
      </w:r>
    </w:p>
    <w:p>
      <w:pPr>
        <w:spacing w:after="0" w:line="162" w:lineRule="exact"/>
        <w:rPr>
          <w:sz w:val="20"/>
          <w:szCs w:val="20"/>
          <w:color w:val="auto"/>
        </w:rPr>
      </w:pPr>
    </w:p>
    <w:p>
      <w:pPr>
        <w:ind w:right="100" w:firstLine="440"/>
        <w:spacing w:after="0" w:line="261" w:lineRule="auto"/>
        <w:rPr>
          <w:sz w:val="20"/>
          <w:szCs w:val="20"/>
          <w:color w:val="auto"/>
        </w:rPr>
      </w:pPr>
      <w:r>
        <w:rPr>
          <w:rFonts w:ascii="Times New Roman" w:cs="Times New Roman" w:eastAsia="Times New Roman" w:hAnsi="Times New Roman"/>
          <w:sz w:val="18"/>
          <w:szCs w:val="18"/>
          <w:color w:val="auto"/>
        </w:rPr>
        <w:t>Upon acceptance of appointment by a successor trustee as provided in this Section 7.10, each of the Company and the successor trustee, at the written direction and at the expense of the Company shall deliver or cause to be delivered notice of the succession of such trustee hereunder to the Holders. If the Company fails to deliver such notice within ten days after acceptance of appointment by the successor trustee, the successor trustee shall cause such notice to be delivered at the expense of the Company.</w:t>
      </w:r>
    </w:p>
    <w:p>
      <w:pPr>
        <w:spacing w:after="0" w:line="178" w:lineRule="exact"/>
        <w:rPr>
          <w:sz w:val="20"/>
          <w:szCs w:val="20"/>
          <w:color w:val="auto"/>
        </w:rPr>
      </w:pPr>
    </w:p>
    <w:p>
      <w:pPr>
        <w:ind w:right="40" w:firstLine="440"/>
        <w:spacing w:after="0" w:line="257" w:lineRule="auto"/>
        <w:rPr>
          <w:sz w:val="20"/>
          <w:szCs w:val="20"/>
          <w:color w:val="auto"/>
        </w:rPr>
      </w:pPr>
      <w:r>
        <w:rPr>
          <w:rFonts w:ascii="Times New Roman" w:cs="Times New Roman" w:eastAsia="Times New Roman" w:hAnsi="Times New Roman"/>
          <w:sz w:val="18"/>
          <w:szCs w:val="18"/>
          <w:color w:val="auto"/>
        </w:rPr>
        <w:t>Section 7.11</w:t>
      </w:r>
      <w:r>
        <w:rPr>
          <w:rFonts w:ascii="Times New Roman" w:cs="Times New Roman" w:eastAsia="Times New Roman" w:hAnsi="Times New Roman"/>
          <w:sz w:val="18"/>
          <w:szCs w:val="18"/>
          <w:i w:val="1"/>
          <w:iCs w:val="1"/>
          <w:color w:val="auto"/>
        </w:rPr>
        <w:t>. Succession by Merger, Etc.</w:t>
      </w:r>
      <w:r>
        <w:rPr>
          <w:rFonts w:ascii="Times New Roman" w:cs="Times New Roman" w:eastAsia="Times New Roman" w:hAnsi="Times New Roman"/>
          <w:sz w:val="18"/>
          <w:szCs w:val="18"/>
          <w:color w:val="auto"/>
        </w:rPr>
        <w:t xml:space="preserve"> Any corporation or other entity into which the Trustee may be merged or converted or with which it may be consolidated, or any corporation or other entity resulting from any merger, conversion or consolidation to which the Trustee shall be a party, or any corporation or other entity succeeding to all or substantially all of the corporate trust business of the Trustee (including the administration of this Indenture), shall be the successor to the Trustee hereunder without the execution or filing of any paper or any further act on the part of any of the parties hereto;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in the case of any corporation or other entity succeeding to all or substantially all of the corporate trust business of the Trustee such corporation or other entity shall be eligible under the provisions of Section 7.08.</w:t>
      </w:r>
    </w:p>
    <w:p>
      <w:pPr>
        <w:spacing w:after="0" w:line="184" w:lineRule="exact"/>
        <w:rPr>
          <w:sz w:val="20"/>
          <w:szCs w:val="20"/>
          <w:color w:val="auto"/>
        </w:rPr>
      </w:pPr>
    </w:p>
    <w:p>
      <w:pPr>
        <w:ind w:firstLine="440"/>
        <w:spacing w:after="0" w:line="254" w:lineRule="auto"/>
        <w:rPr>
          <w:sz w:val="20"/>
          <w:szCs w:val="20"/>
          <w:color w:val="auto"/>
        </w:rPr>
      </w:pPr>
      <w:r>
        <w:rPr>
          <w:rFonts w:ascii="Times New Roman" w:cs="Times New Roman" w:eastAsia="Times New Roman" w:hAnsi="Times New Roman"/>
          <w:sz w:val="18"/>
          <w:szCs w:val="18"/>
          <w:color w:val="auto"/>
        </w:rPr>
        <w:t xml:space="preserve">In case at the time such successor to the Trustee shall succeed to the trusts created by this Indenture, any of the Notes shall have been authenticated but not delivered, any such successor to the Trustee may adopt the certificate of authentication of any predecessor trustee or authenticating agent appointed by such predecessor trustee, and deliver such Notes so authenticated; and in case at that time any of the Notes shall not have been authenticated, any successor to the Trustee or an authenticating agent appointed by such successor trustee may authenticate such Notes either in the name of any predecessor trustee hereunder or in the name of the successor trustee; and in all such cases such certificates shall have the full force which it is anywhere in the Notes or in this Indenture provided that the certificate of the Trustee shall have;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the right to adopt the certificate of authentication of any predecessor trustee or to authenticate Notes in the name of any predecessor trustee shall apply only to its successor or successors by merger, conversion or consolidation.</w:t>
      </w:r>
    </w:p>
    <w:p>
      <w:pPr>
        <w:spacing w:after="0" w:line="12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47</w:t>
      </w:r>
    </w:p>
    <w:p>
      <w:pPr>
        <w:sectPr>
          <w:pgSz w:w="11900" w:h="16838" w:orient="portrait"/>
          <w:cols w:equalWidth="0" w:num="1">
            <w:col w:w="11020"/>
          </w:cols>
          <w:pgMar w:left="440" w:top="268" w:right="439" w:bottom="1440" w:gutter="0" w:footer="0" w:header="0"/>
        </w:sectPr>
      </w:pPr>
    </w:p>
    <w:bookmarkStart w:id="58" w:name="page59"/>
    <w:bookmarkEnd w:id="58"/>
    <w:p>
      <w:pPr>
        <w:ind w:left="4" w:right="60" w:firstLine="440"/>
        <w:spacing w:after="0" w:line="254"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7.12</w:t>
      </w:r>
      <w:r>
        <w:rPr>
          <w:rFonts w:ascii="Times New Roman" w:cs="Times New Roman" w:eastAsia="Times New Roman" w:hAnsi="Times New Roman"/>
          <w:sz w:val="18"/>
          <w:szCs w:val="18"/>
          <w:i w:val="1"/>
          <w:iCs w:val="1"/>
          <w:color w:val="auto"/>
        </w:rPr>
        <w:t>. Trustee’s Application for Instructions from the Company.</w:t>
      </w:r>
      <w:r>
        <w:rPr>
          <w:rFonts w:ascii="Times New Roman" w:cs="Times New Roman" w:eastAsia="Times New Roman" w:hAnsi="Times New Roman"/>
          <w:sz w:val="18"/>
          <w:szCs w:val="18"/>
          <w:color w:val="auto"/>
        </w:rPr>
        <w:t xml:space="preserve"> Any application by the Trustee for written instructions from the Company (other than with regard to any action proposed to be taken or omitted to be taken by the Trustee that affects the rights of the Holders of the Notes under this Indenture) may, at the option of the Trustee, set forth in writing any action proposed to be taken or omitted by the Trustee under this Indenture and the date on and/or after which such action shall be taken or such omission shall be effective. The Trustee shall not be liable to the Company for any action taken by, or omission of, the Trustee in accordance with a proposal included in such application on or after the date specified in such application (which date shall not be less than three Business Days after the date any officer that the Company has indicated to the Trustee should receive such application actually receives such application, unless any such officer shall have consented in writing to any earlier date), unless, prior to taking any such action (or the effective date in the case of any omission), the Trustee shall have received written instructions in accordance with this Indenture in response to such application specifying the action to be taken or omitted.</w:t>
      </w:r>
    </w:p>
    <w:p>
      <w:pPr>
        <w:spacing w:after="0" w:line="190" w:lineRule="exact"/>
        <w:rPr>
          <w:sz w:val="20"/>
          <w:szCs w:val="20"/>
          <w:color w:val="auto"/>
        </w:rPr>
      </w:pPr>
    </w:p>
    <w:p>
      <w:pPr>
        <w:jc w:val="center"/>
        <w:ind w:right="-63"/>
        <w:spacing w:after="0"/>
        <w:rPr>
          <w:sz w:val="20"/>
          <w:szCs w:val="20"/>
          <w:color w:val="auto"/>
        </w:rPr>
      </w:pPr>
      <w:r>
        <w:rPr>
          <w:rFonts w:ascii="Times New Roman" w:cs="Times New Roman" w:eastAsia="Times New Roman" w:hAnsi="Times New Roman"/>
          <w:sz w:val="18"/>
          <w:szCs w:val="18"/>
          <w:color w:val="auto"/>
        </w:rPr>
        <w:t>ARTICLE 8</w:t>
      </w:r>
    </w:p>
    <w:p>
      <w:pPr>
        <w:spacing w:after="0" w:line="27" w:lineRule="exact"/>
        <w:rPr>
          <w:sz w:val="20"/>
          <w:szCs w:val="20"/>
          <w:color w:val="auto"/>
        </w:rPr>
      </w:pPr>
    </w:p>
    <w:p>
      <w:pPr>
        <w:jc w:val="center"/>
        <w:ind w:right="-63"/>
        <w:spacing w:after="0"/>
        <w:rPr>
          <w:sz w:val="20"/>
          <w:szCs w:val="20"/>
          <w:color w:val="auto"/>
        </w:rPr>
      </w:pPr>
      <w:r>
        <w:rPr>
          <w:rFonts w:ascii="Times New Roman" w:cs="Times New Roman" w:eastAsia="Times New Roman" w:hAnsi="Times New Roman"/>
          <w:sz w:val="18"/>
          <w:szCs w:val="18"/>
          <w:color w:val="auto"/>
        </w:rPr>
        <w:t>C</w:t>
      </w:r>
      <w:r>
        <w:rPr>
          <w:rFonts w:ascii="Times New Roman" w:cs="Times New Roman" w:eastAsia="Times New Roman" w:hAnsi="Times New Roman"/>
          <w:sz w:val="14"/>
          <w:szCs w:val="14"/>
          <w:color w:val="auto"/>
        </w:rPr>
        <w:t>ONCERNING THE</w:t>
      </w:r>
      <w:r>
        <w:rPr>
          <w:rFonts w:ascii="Times New Roman" w:cs="Times New Roman" w:eastAsia="Times New Roman" w:hAnsi="Times New Roman"/>
          <w:sz w:val="18"/>
          <w:szCs w:val="18"/>
          <w:color w:val="auto"/>
        </w:rPr>
        <w:t xml:space="preserve"> H</w:t>
      </w:r>
      <w:r>
        <w:rPr>
          <w:rFonts w:ascii="Times New Roman" w:cs="Times New Roman" w:eastAsia="Times New Roman" w:hAnsi="Times New Roman"/>
          <w:sz w:val="14"/>
          <w:szCs w:val="14"/>
          <w:color w:val="auto"/>
        </w:rPr>
        <w:t>OLDERS</w:t>
      </w:r>
    </w:p>
    <w:p>
      <w:pPr>
        <w:spacing w:after="0" w:line="205" w:lineRule="exact"/>
        <w:rPr>
          <w:sz w:val="20"/>
          <w:szCs w:val="20"/>
          <w:color w:val="auto"/>
        </w:rPr>
      </w:pPr>
    </w:p>
    <w:p>
      <w:pPr>
        <w:jc w:val="both"/>
        <w:ind w:left="4" w:right="180" w:firstLine="440"/>
        <w:spacing w:after="0" w:line="273" w:lineRule="auto"/>
        <w:rPr>
          <w:sz w:val="20"/>
          <w:szCs w:val="20"/>
          <w:color w:val="auto"/>
        </w:rPr>
      </w:pPr>
      <w:r>
        <w:rPr>
          <w:rFonts w:ascii="Times New Roman" w:cs="Times New Roman" w:eastAsia="Times New Roman" w:hAnsi="Times New Roman"/>
          <w:sz w:val="17"/>
          <w:szCs w:val="17"/>
          <w:color w:val="auto"/>
        </w:rPr>
        <w:t>Section 8.01</w:t>
      </w:r>
      <w:r>
        <w:rPr>
          <w:rFonts w:ascii="Times New Roman" w:cs="Times New Roman" w:eastAsia="Times New Roman" w:hAnsi="Times New Roman"/>
          <w:sz w:val="17"/>
          <w:szCs w:val="17"/>
          <w:i w:val="1"/>
          <w:iCs w:val="1"/>
          <w:color w:val="auto"/>
        </w:rPr>
        <w:t>. Action by Holders.</w:t>
      </w:r>
      <w:r>
        <w:rPr>
          <w:rFonts w:ascii="Times New Roman" w:cs="Times New Roman" w:eastAsia="Times New Roman" w:hAnsi="Times New Roman"/>
          <w:sz w:val="17"/>
          <w:szCs w:val="17"/>
          <w:color w:val="auto"/>
        </w:rPr>
        <w:t xml:space="preserve"> Whenever in this Indenture it is provided that the Holders of a specified percentage of the aggregate principal amount of the Notes may take any action (including the making of any demand or request, the giving of any notice, consent or waiver or the taking of any other action), the fact that at the time of taking any such action, the Holders of such specified percentage have joined therein may be evidenced</w:t>
      </w:r>
    </w:p>
    <w:p>
      <w:pPr>
        <w:spacing w:after="0" w:line="1" w:lineRule="exact"/>
        <w:rPr>
          <w:sz w:val="20"/>
          <w:szCs w:val="20"/>
          <w:color w:val="auto"/>
        </w:rPr>
      </w:pPr>
    </w:p>
    <w:p>
      <w:pPr>
        <w:ind w:left="4" w:hanging="4"/>
        <w:spacing w:after="0" w:line="252" w:lineRule="auto"/>
        <w:tabs>
          <w:tab w:leader="none" w:pos="249" w:val="left"/>
        </w:tabs>
        <w:numPr>
          <w:ilvl w:val="0"/>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by any instrument or any number of instruments of similar tenor executed by Holders in person or by agent or proxy appointed in writing, or (b) by the record of the Holders voting in favor thereof at any meeting of Holders duly called and held in accordance with the provisions of Article 9, or (c) by a combination of such instrument or instruments and any such record of such a meeting of Holders. Whenever the Company or the Trustee solicits the taking of any action by the Holders of the Notes, the Company or the Trustee may, but shall not be required to, fix in advance of such solicitation, a date as the record date for determining Holders entitled to take such action. The record date if one is selected shall be not more than fifteen days prior to the date of commencement of solicitation of such action.</w:t>
      </w:r>
    </w:p>
    <w:p>
      <w:pPr>
        <w:spacing w:after="0" w:line="188" w:lineRule="exact"/>
        <w:rPr>
          <w:sz w:val="20"/>
          <w:szCs w:val="20"/>
          <w:color w:val="auto"/>
        </w:rPr>
      </w:pPr>
    </w:p>
    <w:p>
      <w:pPr>
        <w:ind w:left="4" w:right="220" w:firstLine="440"/>
        <w:spacing w:after="0" w:line="261" w:lineRule="auto"/>
        <w:rPr>
          <w:sz w:val="20"/>
          <w:szCs w:val="20"/>
          <w:color w:val="auto"/>
        </w:rPr>
      </w:pPr>
      <w:r>
        <w:rPr>
          <w:rFonts w:ascii="Times New Roman" w:cs="Times New Roman" w:eastAsia="Times New Roman" w:hAnsi="Times New Roman"/>
          <w:sz w:val="18"/>
          <w:szCs w:val="18"/>
          <w:color w:val="auto"/>
        </w:rPr>
        <w:t>Section 8.02</w:t>
      </w:r>
      <w:r>
        <w:rPr>
          <w:rFonts w:ascii="Times New Roman" w:cs="Times New Roman" w:eastAsia="Times New Roman" w:hAnsi="Times New Roman"/>
          <w:sz w:val="18"/>
          <w:szCs w:val="18"/>
          <w:i w:val="1"/>
          <w:iCs w:val="1"/>
          <w:color w:val="auto"/>
        </w:rPr>
        <w:t>. Proof of Execution by Holders.</w:t>
      </w:r>
      <w:r>
        <w:rPr>
          <w:rFonts w:ascii="Times New Roman" w:cs="Times New Roman" w:eastAsia="Times New Roman" w:hAnsi="Times New Roman"/>
          <w:sz w:val="18"/>
          <w:szCs w:val="18"/>
          <w:color w:val="auto"/>
        </w:rPr>
        <w:t xml:space="preserve"> Subject to the provisions of Section 7.01, Section 7.02 and Section 9.05, proof of the execution of any instrument by a Holder or its agent or proxy shall be sufficient if made in accordance with such reasonable rules and regulations as may be prescribed by the Trustee or in such manner as shall be satisfactory to the Trustee. The holding of Notes shall be proved by the Note Register or by a certificate of the Note Registrar. The record of any Holders’ meeting shall be proved in the manner provided in Section 9.06.</w:t>
      </w:r>
    </w:p>
    <w:p>
      <w:pPr>
        <w:spacing w:after="0" w:line="114" w:lineRule="exact"/>
        <w:rPr>
          <w:sz w:val="20"/>
          <w:szCs w:val="20"/>
          <w:color w:val="auto"/>
        </w:rPr>
      </w:pPr>
    </w:p>
    <w:p>
      <w:pPr>
        <w:jc w:val="center"/>
        <w:ind w:right="-63"/>
        <w:spacing w:after="0"/>
        <w:rPr>
          <w:sz w:val="20"/>
          <w:szCs w:val="20"/>
          <w:color w:val="auto"/>
        </w:rPr>
      </w:pPr>
      <w:r>
        <w:rPr>
          <w:rFonts w:ascii="Times New Roman" w:cs="Times New Roman" w:eastAsia="Times New Roman" w:hAnsi="Times New Roman"/>
          <w:sz w:val="18"/>
          <w:szCs w:val="18"/>
          <w:color w:val="auto"/>
        </w:rPr>
        <w:t>48</w:t>
      </w:r>
    </w:p>
    <w:p>
      <w:pPr>
        <w:sectPr>
          <w:pgSz w:w="11900" w:h="16838" w:orient="portrait"/>
          <w:cols w:equalWidth="0" w:num="1">
            <w:col w:w="10964"/>
          </w:cols>
          <w:pgMar w:left="436" w:top="268" w:right="499" w:bottom="1440" w:gutter="0" w:footer="0" w:header="0"/>
        </w:sectPr>
      </w:pPr>
    </w:p>
    <w:bookmarkStart w:id="59" w:name="page60"/>
    <w:bookmarkEnd w:id="59"/>
    <w:p>
      <w:pPr>
        <w:ind w:right="20" w:firstLine="440"/>
        <w:spacing w:after="0" w:line="253"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8.03</w:t>
      </w:r>
      <w:r>
        <w:rPr>
          <w:rFonts w:ascii="Times New Roman" w:cs="Times New Roman" w:eastAsia="Times New Roman" w:hAnsi="Times New Roman"/>
          <w:sz w:val="18"/>
          <w:szCs w:val="18"/>
          <w:i w:val="1"/>
          <w:iCs w:val="1"/>
          <w:color w:val="auto"/>
        </w:rPr>
        <w:t>. Who Are Deemed Absolute Owners.</w:t>
      </w:r>
      <w:r>
        <w:rPr>
          <w:rFonts w:ascii="Times New Roman" w:cs="Times New Roman" w:eastAsia="Times New Roman" w:hAnsi="Times New Roman"/>
          <w:sz w:val="18"/>
          <w:szCs w:val="18"/>
          <w:color w:val="auto"/>
        </w:rPr>
        <w:t xml:space="preserve"> The Company, the Trustee, any authenticating agent, any Paying Agent, any Conversion Agent and any Note Registrar may deem the Person in whose name a Note shall be registered upon the Note Register to be, and may treat it as, the absolute owner of such Note (whether or not such Note shall be overdue and notwithstanding any notation of ownership or other writing thereon made by any Person other than the Company or any Note Registrar) for the purpose of receiving payment of or on account of the principal (including any Redemption Price, any Repurchase Price and any Fundamental Change Repurchase Price) of and (subject to Section 2.03) accrued and unpaid interest on such Note, for conversion of such Note and for all other purposes; and neither the Company nor the Trustee nor any Paying Agent nor any Conversion Agent nor any Note Registrar shall be affected by any notice to the contrary. All such payments or deliveries so made to any Holder for the time being, or upon its order, shall be valid, and, to the extent of the sums or shares of Common Stock so paid or delivered, effectual to satisfy and discharge the liability for monies payable or shares deliverable upon any such Note. Notwithstanding anything to the contrary in this Indenture or the Notes following an Event of Default, any holder of a beneficial interest in a Global Note may directly enforce against the Company, without the consent, solicitation, proxy, authorization or any other action of the Depositary or any other Person, such holder’s right to exchange such beneficial interest for a Note in certificated form in accordance with the provisions of this Indenture.</w:t>
      </w:r>
    </w:p>
    <w:p>
      <w:pPr>
        <w:spacing w:after="0" w:line="190" w:lineRule="exact"/>
        <w:rPr>
          <w:sz w:val="20"/>
          <w:szCs w:val="20"/>
          <w:color w:val="auto"/>
        </w:rPr>
      </w:pPr>
    </w:p>
    <w:p>
      <w:pPr>
        <w:ind w:firstLine="440"/>
        <w:spacing w:after="0" w:line="253" w:lineRule="auto"/>
        <w:rPr>
          <w:sz w:val="20"/>
          <w:szCs w:val="20"/>
          <w:color w:val="auto"/>
        </w:rPr>
      </w:pPr>
      <w:r>
        <w:rPr>
          <w:rFonts w:ascii="Times New Roman" w:cs="Times New Roman" w:eastAsia="Times New Roman" w:hAnsi="Times New Roman"/>
          <w:sz w:val="18"/>
          <w:szCs w:val="18"/>
          <w:color w:val="auto"/>
        </w:rPr>
        <w:t>Section 8.04</w:t>
      </w:r>
      <w:r>
        <w:rPr>
          <w:rFonts w:ascii="Times New Roman" w:cs="Times New Roman" w:eastAsia="Times New Roman" w:hAnsi="Times New Roman"/>
          <w:sz w:val="18"/>
          <w:szCs w:val="18"/>
          <w:i w:val="1"/>
          <w:iCs w:val="1"/>
          <w:color w:val="auto"/>
        </w:rPr>
        <w:t>. Company-Owned Notes Disregarded.</w:t>
      </w:r>
      <w:r>
        <w:rPr>
          <w:rFonts w:ascii="Times New Roman" w:cs="Times New Roman" w:eastAsia="Times New Roman" w:hAnsi="Times New Roman"/>
          <w:sz w:val="18"/>
          <w:szCs w:val="18"/>
          <w:color w:val="auto"/>
        </w:rPr>
        <w:t xml:space="preserve"> In determining whether the Holders of the requisite aggregate principal amount of Notes have concurred in any direction, consent, waiver or other action under this Indenture, Notes that are owned by the Company, by any Subsidiary thereof or by any Affiliate of the Company or any Subsidiary thereof shall be disregarded and deemed not to be outstanding for the purpose of any such determination;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for the purposes of determining whether the Trustee shall be protected in relying on any such direction, consent, waiver or other action only Notes that a Responsible Officer knows are so owned shall be so disregarded. Notes so owned that have been pledged in good faith may be regarded as outstanding for the purposes of this Section 8.04 if the pledgee shall establish to the satisfaction of the Trustee the pledgee’s right to so act with respect to such Notes and that the pledgee is not the Company, a Subsidiary thereof or an Affiliate of the Company or a Subsidiary thereof. In the case of a dispute as to such right, any decision by the Trustee taken upon the advice of counsel shall be full protection to the Trustee. Upon request of the Trustee, the Company shall furnish to the Trustee promptly an Officer’s Certificate listing and identifying all Notes, if any, known by the Company to be owned or held by or for the account of any of the above described Persons; and, subject to Section 7.01, the Trustee shall be entitled to accept such Officer’s Certificate as conclusive evidence of the facts therein set forth and of the fact that all Notes not listed therein are outstanding for the purpose of any such determination.</w:t>
      </w:r>
    </w:p>
    <w:p>
      <w:pPr>
        <w:spacing w:after="0" w:line="190" w:lineRule="exact"/>
        <w:rPr>
          <w:sz w:val="20"/>
          <w:szCs w:val="20"/>
          <w:color w:val="auto"/>
        </w:rPr>
      </w:pPr>
    </w:p>
    <w:p>
      <w:pPr>
        <w:ind w:right="260" w:firstLine="440"/>
        <w:spacing w:after="0" w:line="258" w:lineRule="auto"/>
        <w:rPr>
          <w:sz w:val="20"/>
          <w:szCs w:val="20"/>
          <w:color w:val="auto"/>
        </w:rPr>
      </w:pPr>
      <w:r>
        <w:rPr>
          <w:rFonts w:ascii="Times New Roman" w:cs="Times New Roman" w:eastAsia="Times New Roman" w:hAnsi="Times New Roman"/>
          <w:sz w:val="18"/>
          <w:szCs w:val="18"/>
          <w:color w:val="auto"/>
        </w:rPr>
        <w:t>Section 8.05</w:t>
      </w:r>
      <w:r>
        <w:rPr>
          <w:rFonts w:ascii="Times New Roman" w:cs="Times New Roman" w:eastAsia="Times New Roman" w:hAnsi="Times New Roman"/>
          <w:sz w:val="18"/>
          <w:szCs w:val="18"/>
          <w:i w:val="1"/>
          <w:iCs w:val="1"/>
          <w:color w:val="auto"/>
        </w:rPr>
        <w:t>. Revocation of Consents; Future Holders Bound.</w:t>
      </w:r>
      <w:r>
        <w:rPr>
          <w:rFonts w:ascii="Times New Roman" w:cs="Times New Roman" w:eastAsia="Times New Roman" w:hAnsi="Times New Roman"/>
          <w:sz w:val="18"/>
          <w:szCs w:val="18"/>
          <w:color w:val="auto"/>
        </w:rPr>
        <w:t xml:space="preserve"> At any time prior to (but not after) the evidencing to the Trustee, as provided in Section 8.01, of the taking of any action by the Holders of the percentage of the aggregate principal amount of the Notes specified in this Indenture in connection with such action, any Holder of a Note that is shown by the evidence to be included in the Notes the Holders of which have consented to such action may, by filing written notice with the Trustee at its Corporate Trust Office and upon proof of holding as provided in Section 8.02, revoke such action so far as concerns such Note. Except as aforesaid,</w:t>
      </w:r>
    </w:p>
    <w:p>
      <w:pPr>
        <w:spacing w:after="0" w:line="11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49</w:t>
      </w:r>
    </w:p>
    <w:p>
      <w:pPr>
        <w:sectPr>
          <w:pgSz w:w="11900" w:h="16838" w:orient="portrait"/>
          <w:cols w:equalWidth="0" w:num="1">
            <w:col w:w="11020"/>
          </w:cols>
          <w:pgMar w:left="440" w:top="268" w:right="439" w:bottom="1440" w:gutter="0" w:footer="0" w:header="0"/>
        </w:sectPr>
      </w:pPr>
    </w:p>
    <w:bookmarkStart w:id="60" w:name="page61"/>
    <w:bookmarkEnd w:id="60"/>
    <w:p>
      <w:pPr>
        <w:spacing w:after="0" w:line="26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any such action taken by the Holder of any Note shall be conclusive and binding upon such Holder and upon all future Holders and owners of such Note and of any Notes issued in exchange or substitution therefor or upon registration of transfer thereof, irrespective of whether any notation in regard thereto is made upon such Note or any Note issued in exchange or substitution therefor or upon registration of transfer thereof.</w:t>
      </w:r>
    </w:p>
    <w:p>
      <w:pPr>
        <w:spacing w:after="0" w:line="176"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ARTICLE 9</w:t>
      </w:r>
    </w:p>
    <w:p>
      <w:pPr>
        <w:spacing w:after="0" w:line="27"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H</w:t>
      </w:r>
      <w:r>
        <w:rPr>
          <w:rFonts w:ascii="Times New Roman" w:cs="Times New Roman" w:eastAsia="Times New Roman" w:hAnsi="Times New Roman"/>
          <w:sz w:val="14"/>
          <w:szCs w:val="14"/>
          <w:color w:val="auto"/>
        </w:rPr>
        <w:t>OLDERS</w:t>
      </w:r>
      <w:r>
        <w:rPr>
          <w:rFonts w:ascii="Times New Roman" w:cs="Times New Roman" w:eastAsia="Times New Roman" w:hAnsi="Times New Roman"/>
          <w:sz w:val="18"/>
          <w:szCs w:val="18"/>
          <w:color w:val="auto"/>
        </w:rPr>
        <w:t>’ M</w:t>
      </w:r>
      <w:r>
        <w:rPr>
          <w:rFonts w:ascii="Times New Roman" w:cs="Times New Roman" w:eastAsia="Times New Roman" w:hAnsi="Times New Roman"/>
          <w:sz w:val="14"/>
          <w:szCs w:val="14"/>
          <w:color w:val="auto"/>
        </w:rPr>
        <w:t>EETINGS</w:t>
      </w:r>
    </w:p>
    <w:p>
      <w:pPr>
        <w:spacing w:after="0" w:line="20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Section 9.01</w:t>
      </w:r>
      <w:r>
        <w:rPr>
          <w:rFonts w:ascii="Times New Roman" w:cs="Times New Roman" w:eastAsia="Times New Roman" w:hAnsi="Times New Roman"/>
          <w:sz w:val="18"/>
          <w:szCs w:val="18"/>
          <w:i w:val="1"/>
          <w:iCs w:val="1"/>
          <w:color w:val="auto"/>
        </w:rPr>
        <w:t>. Purpose of Meetings.</w:t>
      </w:r>
      <w:r>
        <w:rPr>
          <w:rFonts w:ascii="Times New Roman" w:cs="Times New Roman" w:eastAsia="Times New Roman" w:hAnsi="Times New Roman"/>
          <w:sz w:val="18"/>
          <w:szCs w:val="18"/>
          <w:color w:val="auto"/>
        </w:rPr>
        <w:t xml:space="preserve"> A meeting of Holders may be called at any time and from time to time pursuant to the provisions of this</w:t>
      </w:r>
    </w:p>
    <w:p>
      <w:pPr>
        <w:spacing w:after="0" w:line="2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Article 9 for any of the following purposes:</w:t>
      </w:r>
    </w:p>
    <w:p>
      <w:pPr>
        <w:spacing w:after="0" w:line="207" w:lineRule="exact"/>
        <w:rPr>
          <w:sz w:val="20"/>
          <w:szCs w:val="20"/>
          <w:color w:val="auto"/>
        </w:rPr>
      </w:pPr>
    </w:p>
    <w:p>
      <w:pPr>
        <w:jc w:val="both"/>
        <w:ind w:right="80" w:firstLine="436"/>
        <w:spacing w:after="0" w:line="266" w:lineRule="auto"/>
        <w:tabs>
          <w:tab w:leader="none" w:pos="685" w:val="left"/>
        </w:tabs>
        <w:numPr>
          <w:ilvl w:val="0"/>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give any notice to the Company or to the Trustee or to give any directions to the Trustee permitted under this Indenture, or to consent to the waiving of any Default or Event of Default hereunder (in each case, as permitted under this Indenture) and its consequences, or to take any other action authorized to be taken by Holders pursuant to any of the provisions of Article 6;</w:t>
      </w:r>
    </w:p>
    <w:p>
      <w:pPr>
        <w:spacing w:after="0" w:line="175"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remove the Trustee and nominate a successor trustee pursuant to the provisions of Article 7;</w:t>
      </w:r>
    </w:p>
    <w:p>
      <w:pPr>
        <w:spacing w:after="0" w:line="225" w:lineRule="exact"/>
        <w:rPr>
          <w:rFonts w:ascii="Times New Roman" w:cs="Times New Roman" w:eastAsia="Times New Roman" w:hAnsi="Times New Roman"/>
          <w:sz w:val="18"/>
          <w:szCs w:val="18"/>
          <w:color w:val="auto"/>
        </w:rPr>
      </w:pPr>
    </w:p>
    <w:p>
      <w:pPr>
        <w:ind w:left="680" w:hanging="244"/>
        <w:spacing w:after="0"/>
        <w:tabs>
          <w:tab w:leader="none" w:pos="680" w:val="left"/>
        </w:tabs>
        <w:numPr>
          <w:ilvl w:val="0"/>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consent to the execution of an indenture or indentures supplemental hereto pursuant to the provisions of Section 10.02; or</w:t>
      </w:r>
    </w:p>
    <w:p>
      <w:pPr>
        <w:spacing w:after="0" w:line="225" w:lineRule="exact"/>
        <w:rPr>
          <w:rFonts w:ascii="Times New Roman" w:cs="Times New Roman" w:eastAsia="Times New Roman" w:hAnsi="Times New Roman"/>
          <w:sz w:val="18"/>
          <w:szCs w:val="18"/>
          <w:color w:val="auto"/>
        </w:rPr>
      </w:pPr>
    </w:p>
    <w:p>
      <w:pPr>
        <w:ind w:right="160" w:firstLine="436"/>
        <w:spacing w:after="0" w:line="282" w:lineRule="auto"/>
        <w:tabs>
          <w:tab w:leader="none" w:pos="695" w:val="left"/>
        </w:tabs>
        <w:numPr>
          <w:ilvl w:val="0"/>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take any other action authorized to be taken by or on behalf of the Holders of any specified aggregate principal amount of the Notes under any other provision of this Indenture or under applicable law.</w:t>
      </w:r>
    </w:p>
    <w:p>
      <w:pPr>
        <w:spacing w:after="0" w:line="160" w:lineRule="exact"/>
        <w:rPr>
          <w:sz w:val="20"/>
          <w:szCs w:val="20"/>
          <w:color w:val="auto"/>
        </w:rPr>
      </w:pPr>
    </w:p>
    <w:p>
      <w:pPr>
        <w:ind w:right="20" w:firstLine="440"/>
        <w:spacing w:after="0" w:line="258" w:lineRule="auto"/>
        <w:rPr>
          <w:sz w:val="20"/>
          <w:szCs w:val="20"/>
          <w:color w:val="auto"/>
        </w:rPr>
      </w:pPr>
      <w:r>
        <w:rPr>
          <w:rFonts w:ascii="Times New Roman" w:cs="Times New Roman" w:eastAsia="Times New Roman" w:hAnsi="Times New Roman"/>
          <w:sz w:val="18"/>
          <w:szCs w:val="18"/>
          <w:color w:val="auto"/>
        </w:rPr>
        <w:t>Section 9.02</w:t>
      </w:r>
      <w:r>
        <w:rPr>
          <w:rFonts w:ascii="Times New Roman" w:cs="Times New Roman" w:eastAsia="Times New Roman" w:hAnsi="Times New Roman"/>
          <w:sz w:val="18"/>
          <w:szCs w:val="18"/>
          <w:i w:val="1"/>
          <w:iCs w:val="1"/>
          <w:color w:val="auto"/>
        </w:rPr>
        <w:t>. Call of Meetings by Trustee.</w:t>
      </w:r>
      <w:r>
        <w:rPr>
          <w:rFonts w:ascii="Times New Roman" w:cs="Times New Roman" w:eastAsia="Times New Roman" w:hAnsi="Times New Roman"/>
          <w:sz w:val="18"/>
          <w:szCs w:val="18"/>
          <w:color w:val="auto"/>
        </w:rPr>
        <w:t xml:space="preserve"> The Trustee may at any time call a meeting of Holders to take any action specified in Section 9.01, to be held at such time and at such place as the Trustee shall determine. Notice of every meeting of the Holders, setting forth the time and the place of such meeting and in general terms the action proposed to be taken at such meeting and the establishment of any record date pursuant to Section 8.01, shall be delivered to Holders of such Notes. Such notice shall also be delivered to the Company. Such notices shall be delivered not less than 20 nor more than 90 days prior to the date fixed for the meeting.</w:t>
      </w:r>
    </w:p>
    <w:p>
      <w:pPr>
        <w:spacing w:after="0" w:line="185" w:lineRule="exact"/>
        <w:rPr>
          <w:sz w:val="20"/>
          <w:szCs w:val="20"/>
          <w:color w:val="auto"/>
        </w:rPr>
      </w:pPr>
    </w:p>
    <w:p>
      <w:pPr>
        <w:ind w:right="140" w:firstLine="440"/>
        <w:spacing w:after="0" w:line="266" w:lineRule="auto"/>
        <w:rPr>
          <w:sz w:val="20"/>
          <w:szCs w:val="20"/>
          <w:color w:val="auto"/>
        </w:rPr>
      </w:pPr>
      <w:r>
        <w:rPr>
          <w:rFonts w:ascii="Times New Roman" w:cs="Times New Roman" w:eastAsia="Times New Roman" w:hAnsi="Times New Roman"/>
          <w:sz w:val="18"/>
          <w:szCs w:val="18"/>
          <w:color w:val="auto"/>
        </w:rPr>
        <w:t>Any meeting of Holders shall be valid without notice if the Holders of all Notes then outstanding are present in person or by proxy or if notice is waived before or after the meeting by the Holders of all Notes then outstanding, and if the Company and the Trustee are either present by duly authorized representatives or have, before or after the meeting, waived notice.</w:t>
      </w:r>
    </w:p>
    <w:p>
      <w:pPr>
        <w:spacing w:after="0" w:line="174" w:lineRule="exact"/>
        <w:rPr>
          <w:sz w:val="20"/>
          <w:szCs w:val="20"/>
          <w:color w:val="auto"/>
        </w:rPr>
      </w:pPr>
    </w:p>
    <w:p>
      <w:pPr>
        <w:ind w:firstLine="440"/>
        <w:spacing w:after="0" w:line="258" w:lineRule="auto"/>
        <w:rPr>
          <w:sz w:val="20"/>
          <w:szCs w:val="20"/>
          <w:color w:val="auto"/>
        </w:rPr>
      </w:pPr>
      <w:r>
        <w:rPr>
          <w:rFonts w:ascii="Times New Roman" w:cs="Times New Roman" w:eastAsia="Times New Roman" w:hAnsi="Times New Roman"/>
          <w:sz w:val="18"/>
          <w:szCs w:val="18"/>
          <w:color w:val="auto"/>
        </w:rPr>
        <w:t>Section 9.03</w:t>
      </w:r>
      <w:r>
        <w:rPr>
          <w:rFonts w:ascii="Times New Roman" w:cs="Times New Roman" w:eastAsia="Times New Roman" w:hAnsi="Times New Roman"/>
          <w:sz w:val="18"/>
          <w:szCs w:val="18"/>
          <w:i w:val="1"/>
          <w:iCs w:val="1"/>
          <w:color w:val="auto"/>
        </w:rPr>
        <w:t>. Call of Meetings by Company or Holders.</w:t>
      </w:r>
      <w:r>
        <w:rPr>
          <w:rFonts w:ascii="Times New Roman" w:cs="Times New Roman" w:eastAsia="Times New Roman" w:hAnsi="Times New Roman"/>
          <w:sz w:val="18"/>
          <w:szCs w:val="18"/>
          <w:color w:val="auto"/>
        </w:rPr>
        <w:t xml:space="preserve"> In case at any time the Company, pursuant to a Board Resolution, or the Holders of at least 10% of the aggregate principal amount of the Notes then outstanding, shall have requested the Trustee to call a meeting of Holders, by written request setting forth in reasonable detail the action proposed to be taken at the meeting, and the Trustee shall not have delivered the notice of such meeting within 20 days after receipt of such request, then the Company or such Holders may determine the time and the place for such meeting and may call such meeting to take any action authorized in Section 9.01, by delivering notice thereof as provided in Section 9.02.</w:t>
      </w:r>
    </w:p>
    <w:p>
      <w:pPr>
        <w:spacing w:after="0" w:line="118"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50</w:t>
      </w:r>
    </w:p>
    <w:p>
      <w:pPr>
        <w:sectPr>
          <w:pgSz w:w="11900" w:h="16838" w:orient="portrait"/>
          <w:cols w:equalWidth="0" w:num="1">
            <w:col w:w="10980"/>
          </w:cols>
          <w:pgMar w:left="440" w:top="270" w:right="479" w:bottom="1440" w:gutter="0" w:footer="0" w:header="0"/>
        </w:sectPr>
      </w:pPr>
    </w:p>
    <w:bookmarkStart w:id="61" w:name="page62"/>
    <w:bookmarkEnd w:id="61"/>
    <w:p>
      <w:pPr>
        <w:jc w:val="both"/>
        <w:ind w:right="20" w:firstLine="440"/>
        <w:spacing w:after="0" w:line="281" w:lineRule="auto"/>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9.04</w:t>
      </w:r>
      <w:r>
        <w:rPr>
          <w:rFonts w:ascii="Times New Roman" w:cs="Times New Roman" w:eastAsia="Times New Roman" w:hAnsi="Times New Roman"/>
          <w:sz w:val="17"/>
          <w:szCs w:val="17"/>
          <w:i w:val="1"/>
          <w:iCs w:val="1"/>
          <w:color w:val="auto"/>
        </w:rPr>
        <w:t>. Qualifications for Voting.</w:t>
      </w:r>
      <w:r>
        <w:rPr>
          <w:rFonts w:ascii="Times New Roman" w:cs="Times New Roman" w:eastAsia="Times New Roman" w:hAnsi="Times New Roman"/>
          <w:sz w:val="17"/>
          <w:szCs w:val="17"/>
          <w:color w:val="auto"/>
        </w:rPr>
        <w:t xml:space="preserve"> To be entitled to vote at any meeting of Holders a Person shall (a) be a Holder of one or more Notes on the record date pertaining to such meeting or (b) be a Person appointed by an instrument in writing as proxy by a Holder of one or more Notes on the record date pertaining to such meeting. The only Persons who shall be entitled to be present or to speak at any meeting of Holders shall be the Persons entitled to vote at such meeting and their counsel and any representatives of the Trustee and its counsel and any representatives of the Company and its counsel.</w:t>
      </w:r>
    </w:p>
    <w:p>
      <w:pPr>
        <w:spacing w:after="0" w:line="164" w:lineRule="exact"/>
        <w:rPr>
          <w:sz w:val="20"/>
          <w:szCs w:val="20"/>
          <w:color w:val="auto"/>
        </w:rPr>
      </w:pPr>
    </w:p>
    <w:p>
      <w:pPr>
        <w:ind w:right="180" w:firstLine="440"/>
        <w:spacing w:after="0" w:line="261" w:lineRule="auto"/>
        <w:rPr>
          <w:sz w:val="20"/>
          <w:szCs w:val="20"/>
          <w:color w:val="auto"/>
        </w:rPr>
      </w:pPr>
      <w:r>
        <w:rPr>
          <w:rFonts w:ascii="Times New Roman" w:cs="Times New Roman" w:eastAsia="Times New Roman" w:hAnsi="Times New Roman"/>
          <w:sz w:val="18"/>
          <w:szCs w:val="18"/>
          <w:color w:val="auto"/>
        </w:rPr>
        <w:t>Section 9.05</w:t>
      </w:r>
      <w:r>
        <w:rPr>
          <w:rFonts w:ascii="Times New Roman" w:cs="Times New Roman" w:eastAsia="Times New Roman" w:hAnsi="Times New Roman"/>
          <w:sz w:val="18"/>
          <w:szCs w:val="18"/>
          <w:i w:val="1"/>
          <w:iCs w:val="1"/>
          <w:color w:val="auto"/>
        </w:rPr>
        <w:t>. Regulations.</w:t>
      </w:r>
      <w:r>
        <w:rPr>
          <w:rFonts w:ascii="Times New Roman" w:cs="Times New Roman" w:eastAsia="Times New Roman" w:hAnsi="Times New Roman"/>
          <w:sz w:val="18"/>
          <w:szCs w:val="18"/>
          <w:color w:val="auto"/>
        </w:rPr>
        <w:t xml:space="preserve"> Notwithstanding any other provisions of this Indenture, the Trustee may make such reasonable regulations as it may deem advisable for any meeting of Holders, in regard to proof of the holding of Notes and of the appointment of proxies, and in regard to the appointment and duties of inspectors of votes, the submission and examination of proxies, certificates and other evidence of the right to vote, and such other matters concerning the conduct of the meeting as it shall think fit.</w:t>
      </w:r>
    </w:p>
    <w:p>
      <w:pPr>
        <w:spacing w:after="0" w:line="182" w:lineRule="exact"/>
        <w:rPr>
          <w:sz w:val="20"/>
          <w:szCs w:val="20"/>
          <w:color w:val="auto"/>
        </w:rPr>
      </w:pPr>
    </w:p>
    <w:p>
      <w:pPr>
        <w:jc w:val="both"/>
        <w:ind w:right="320" w:firstLine="440"/>
        <w:spacing w:after="0" w:line="261" w:lineRule="auto"/>
        <w:rPr>
          <w:sz w:val="20"/>
          <w:szCs w:val="20"/>
          <w:color w:val="auto"/>
        </w:rPr>
      </w:pPr>
      <w:r>
        <w:rPr>
          <w:rFonts w:ascii="Times New Roman" w:cs="Times New Roman" w:eastAsia="Times New Roman" w:hAnsi="Times New Roman"/>
          <w:sz w:val="18"/>
          <w:szCs w:val="18"/>
          <w:color w:val="auto"/>
        </w:rPr>
        <w:t>The Trustee shall, by an instrument in writing, appoint a temporary chairman of the meeting, unless the meeting shall have been called by the Company or by Holders as provided in Section 9.03, in which case the Company or the Holders calling the meeting, as the case may be, shall in like manner appoint a temporary chairman. A permanent chairman and a permanent secretary of the meeting shall be elected by vote of the Holders of a majority in aggregate principal amount of the Notes represented at the meeting and entitled to vote at the meeting.</w:t>
      </w:r>
    </w:p>
    <w:p>
      <w:pPr>
        <w:spacing w:after="0" w:line="180" w:lineRule="exact"/>
        <w:rPr>
          <w:sz w:val="20"/>
          <w:szCs w:val="20"/>
          <w:color w:val="auto"/>
        </w:rPr>
      </w:pPr>
    </w:p>
    <w:p>
      <w:pPr>
        <w:ind w:firstLine="440"/>
        <w:spacing w:after="0" w:line="255" w:lineRule="auto"/>
        <w:rPr>
          <w:sz w:val="20"/>
          <w:szCs w:val="20"/>
          <w:color w:val="auto"/>
        </w:rPr>
      </w:pPr>
      <w:r>
        <w:rPr>
          <w:rFonts w:ascii="Times New Roman" w:cs="Times New Roman" w:eastAsia="Times New Roman" w:hAnsi="Times New Roman"/>
          <w:sz w:val="18"/>
          <w:szCs w:val="18"/>
          <w:color w:val="auto"/>
        </w:rPr>
        <w:t xml:space="preserve">Subject to the provisions of Section 8.04, at any meeting of Holders each Holder or proxyholder shall be entitled to one vote for each $1,000 principal amount of Notes held or represented by him or her;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no vote shall be cast or counted at any meeting in respect of any Note challenged as not outstanding and ruled by the chairman of the meeting to be not outstanding. The chairman of the meeting shall have no right to vote other than by virtue of Notes held by it or instruments in writing as aforesaid duly designating it as the proxy to vote on behalf of other Holders. Any meeting of Holders duly called pursuant to the provisions of Section 9.02 or Section 9.03 may be adjourned from time to time by the Holders of a majority of the aggregate principal amount of Notes represented at the meeting, whether or not constituting a quorum, and the meeting may be held as so adjourned without further notice.</w:t>
      </w:r>
    </w:p>
    <w:p>
      <w:pPr>
        <w:spacing w:after="0" w:line="187" w:lineRule="exact"/>
        <w:rPr>
          <w:sz w:val="20"/>
          <w:szCs w:val="20"/>
          <w:color w:val="auto"/>
        </w:rPr>
      </w:pPr>
    </w:p>
    <w:p>
      <w:pPr>
        <w:ind w:right="20" w:firstLine="440"/>
        <w:spacing w:after="0" w:line="257" w:lineRule="auto"/>
        <w:rPr>
          <w:sz w:val="20"/>
          <w:szCs w:val="20"/>
          <w:color w:val="auto"/>
        </w:rPr>
      </w:pPr>
      <w:r>
        <w:rPr>
          <w:rFonts w:ascii="Times New Roman" w:cs="Times New Roman" w:eastAsia="Times New Roman" w:hAnsi="Times New Roman"/>
          <w:sz w:val="18"/>
          <w:szCs w:val="18"/>
          <w:color w:val="auto"/>
        </w:rPr>
        <w:t>Section 9.06</w:t>
      </w:r>
      <w:r>
        <w:rPr>
          <w:rFonts w:ascii="Times New Roman" w:cs="Times New Roman" w:eastAsia="Times New Roman" w:hAnsi="Times New Roman"/>
          <w:sz w:val="18"/>
          <w:szCs w:val="18"/>
          <w:i w:val="1"/>
          <w:iCs w:val="1"/>
          <w:color w:val="auto"/>
        </w:rPr>
        <w:t>. Voting.</w:t>
      </w:r>
      <w:r>
        <w:rPr>
          <w:rFonts w:ascii="Times New Roman" w:cs="Times New Roman" w:eastAsia="Times New Roman" w:hAnsi="Times New Roman"/>
          <w:sz w:val="18"/>
          <w:szCs w:val="18"/>
          <w:color w:val="auto"/>
        </w:rPr>
        <w:t xml:space="preserve"> The vote upon any resolution submitted to any meeting of Holders shall be by written ballot on which shall be subscribed the signatures of the Holders or of their representatives by proxy and the outstanding aggregate principal amount of the Notes held or represented by them. The permanent chairman of the meeting shall appoint two inspectors of votes who shall count all votes cast at the meeting for or against any resolution and who shall make and file with the secretary of the meeting their verified written reports in duplicate of all votes cast at the meeting. A record in duplicate of the proceedings of each meeting of Holders shall be prepared by the secretary of the meeting and there shall be attached to said record the original reports of the inspectors of votes on any vote by ballot taken thereat and affidavits by</w:t>
      </w:r>
    </w:p>
    <w:p>
      <w:pPr>
        <w:spacing w:after="0" w:line="11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51</w:t>
      </w:r>
    </w:p>
    <w:p>
      <w:pPr>
        <w:sectPr>
          <w:pgSz w:w="11900" w:h="16838" w:orient="portrait"/>
          <w:cols w:equalWidth="0" w:num="1">
            <w:col w:w="11000"/>
          </w:cols>
          <w:pgMar w:left="440" w:top="268" w:right="459" w:bottom="1440" w:gutter="0" w:footer="0" w:header="0"/>
        </w:sectPr>
      </w:pPr>
    </w:p>
    <w:bookmarkStart w:id="62" w:name="page63"/>
    <w:bookmarkEnd w:id="62"/>
    <w:p>
      <w:pPr>
        <w:ind w:right="12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one or more Persons having knowledge of the facts setting forth a copy of the notice of the meeting and showing that said notice was delivered as provided in Section 9.02. The record shall show the aggregate principal amount of the Notes voting in favor of or against any resolution. The record shall be signed and verified by the affidavits of the permanent chairman and secretary of the meeting and one of the duplicates shall be delivered to the Company and the other to the Trustee to be preserved by the Trustee, the latter to have attached thereto the ballots voted at the meeting.</w:t>
      </w:r>
    </w:p>
    <w:p>
      <w:pPr>
        <w:spacing w:after="0" w:line="180"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Any record so signed and verified shall be conclusive evidence of the matters therein stated.</w:t>
      </w:r>
    </w:p>
    <w:p>
      <w:pPr>
        <w:spacing w:after="0" w:line="223" w:lineRule="exact"/>
        <w:rPr>
          <w:sz w:val="20"/>
          <w:szCs w:val="20"/>
          <w:color w:val="auto"/>
        </w:rPr>
      </w:pPr>
    </w:p>
    <w:p>
      <w:pPr>
        <w:ind w:firstLine="440"/>
        <w:spacing w:after="0" w:line="267" w:lineRule="auto"/>
        <w:rPr>
          <w:sz w:val="20"/>
          <w:szCs w:val="20"/>
          <w:color w:val="auto"/>
        </w:rPr>
      </w:pPr>
      <w:r>
        <w:rPr>
          <w:rFonts w:ascii="Times New Roman" w:cs="Times New Roman" w:eastAsia="Times New Roman" w:hAnsi="Times New Roman"/>
          <w:sz w:val="18"/>
          <w:szCs w:val="18"/>
          <w:color w:val="auto"/>
        </w:rPr>
        <w:t>Section 9.07</w:t>
      </w:r>
      <w:r>
        <w:rPr>
          <w:rFonts w:ascii="Times New Roman" w:cs="Times New Roman" w:eastAsia="Times New Roman" w:hAnsi="Times New Roman"/>
          <w:sz w:val="18"/>
          <w:szCs w:val="18"/>
          <w:i w:val="1"/>
          <w:iCs w:val="1"/>
          <w:color w:val="auto"/>
        </w:rPr>
        <w:t>. No Delay of Rights by Meeting.</w:t>
      </w:r>
      <w:r>
        <w:rPr>
          <w:rFonts w:ascii="Times New Roman" w:cs="Times New Roman" w:eastAsia="Times New Roman" w:hAnsi="Times New Roman"/>
          <w:sz w:val="18"/>
          <w:szCs w:val="18"/>
          <w:color w:val="auto"/>
        </w:rPr>
        <w:t xml:space="preserve"> Nothing contained in this Article 9 shall be deemed or construed to authorize or permit, by reason of any call of a meeting of Holders or any rights expressly or impliedly conferred hereunder to make such call, any hindrance or delay in the exercise of any right or rights conferred upon or reserved to the Trustee or to the Holders under any of the provisions of this Indenture or of the Notes.</w:t>
      </w:r>
    </w:p>
    <w:p>
      <w:pPr>
        <w:spacing w:after="0" w:line="175"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ARTICLE 10</w:t>
      </w:r>
    </w:p>
    <w:p>
      <w:pPr>
        <w:spacing w:after="0" w:line="27"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S</w:t>
      </w:r>
      <w:r>
        <w:rPr>
          <w:rFonts w:ascii="Times New Roman" w:cs="Times New Roman" w:eastAsia="Times New Roman" w:hAnsi="Times New Roman"/>
          <w:sz w:val="14"/>
          <w:szCs w:val="14"/>
          <w:color w:val="auto"/>
        </w:rPr>
        <w:t>UPPLEMENTAL</w:t>
      </w:r>
      <w:r>
        <w:rPr>
          <w:rFonts w:ascii="Times New Roman" w:cs="Times New Roman" w:eastAsia="Times New Roman" w:hAnsi="Times New Roman"/>
          <w:sz w:val="18"/>
          <w:szCs w:val="18"/>
          <w:color w:val="auto"/>
        </w:rPr>
        <w:t xml:space="preserve"> I</w:t>
      </w:r>
      <w:r>
        <w:rPr>
          <w:rFonts w:ascii="Times New Roman" w:cs="Times New Roman" w:eastAsia="Times New Roman" w:hAnsi="Times New Roman"/>
          <w:sz w:val="14"/>
          <w:szCs w:val="14"/>
          <w:color w:val="auto"/>
        </w:rPr>
        <w:t>NDENTURES</w:t>
      </w:r>
    </w:p>
    <w:p>
      <w:pPr>
        <w:spacing w:after="0" w:line="205" w:lineRule="exact"/>
        <w:rPr>
          <w:sz w:val="20"/>
          <w:szCs w:val="20"/>
          <w:color w:val="auto"/>
        </w:rPr>
      </w:pPr>
    </w:p>
    <w:p>
      <w:pPr>
        <w:jc w:val="both"/>
        <w:ind w:right="60" w:firstLine="440"/>
        <w:spacing w:after="0" w:line="267" w:lineRule="auto"/>
        <w:rPr>
          <w:sz w:val="20"/>
          <w:szCs w:val="20"/>
          <w:color w:val="auto"/>
        </w:rPr>
      </w:pPr>
      <w:r>
        <w:rPr>
          <w:rFonts w:ascii="Times New Roman" w:cs="Times New Roman" w:eastAsia="Times New Roman" w:hAnsi="Times New Roman"/>
          <w:sz w:val="18"/>
          <w:szCs w:val="18"/>
          <w:color w:val="auto"/>
        </w:rPr>
        <w:t>Section 10.01</w:t>
      </w:r>
      <w:r>
        <w:rPr>
          <w:rFonts w:ascii="Times New Roman" w:cs="Times New Roman" w:eastAsia="Times New Roman" w:hAnsi="Times New Roman"/>
          <w:sz w:val="18"/>
          <w:szCs w:val="18"/>
          <w:i w:val="1"/>
          <w:iCs w:val="1"/>
          <w:color w:val="auto"/>
        </w:rPr>
        <w:t>. Supplemental Indentures Without Consent of Holders.</w:t>
      </w:r>
      <w:r>
        <w:rPr>
          <w:rFonts w:ascii="Times New Roman" w:cs="Times New Roman" w:eastAsia="Times New Roman" w:hAnsi="Times New Roman"/>
          <w:sz w:val="18"/>
          <w:szCs w:val="18"/>
          <w:color w:val="auto"/>
        </w:rPr>
        <w:t xml:space="preserve"> The Company, when authorized by the resolutions of the Board of Directors and the Trustee, at the Company’s expense, may from time to time and at any time enter into an indenture or indentures supplemental hereto for one or more of the following purposes:</w:t>
      </w:r>
    </w:p>
    <w:p>
      <w:pPr>
        <w:spacing w:after="0" w:line="175" w:lineRule="exact"/>
        <w:rPr>
          <w:sz w:val="20"/>
          <w:szCs w:val="20"/>
          <w:color w:val="auto"/>
        </w:rPr>
      </w:pPr>
    </w:p>
    <w:p>
      <w:pPr>
        <w:ind w:left="680" w:hanging="244"/>
        <w:spacing w:after="0"/>
        <w:tabs>
          <w:tab w:leader="none" w:pos="680" w:val="left"/>
        </w:tabs>
        <w:numPr>
          <w:ilvl w:val="0"/>
          <w:numId w:val="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cure any ambiguity, omission, defect or inconsistency;</w:t>
      </w:r>
    </w:p>
    <w:p>
      <w:pPr>
        <w:spacing w:after="0" w:line="225" w:lineRule="exact"/>
        <w:rPr>
          <w:rFonts w:ascii="Times New Roman" w:cs="Times New Roman" w:eastAsia="Times New Roman" w:hAnsi="Times New Roman"/>
          <w:sz w:val="18"/>
          <w:szCs w:val="18"/>
          <w:color w:val="auto"/>
        </w:rPr>
      </w:pPr>
    </w:p>
    <w:p>
      <w:pPr>
        <w:ind w:right="420" w:firstLine="436"/>
        <w:spacing w:after="0" w:line="282" w:lineRule="auto"/>
        <w:tabs>
          <w:tab w:leader="none" w:pos="695" w:val="left"/>
        </w:tabs>
        <w:numPr>
          <w:ilvl w:val="0"/>
          <w:numId w:val="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provide for the assumption by a Successor Company of the obligations of the Company under this Indenture and the Notes pursuant to Article 11;</w:t>
      </w:r>
    </w:p>
    <w:p>
      <w:pPr>
        <w:spacing w:after="0" w:line="161" w:lineRule="exact"/>
        <w:rPr>
          <w:rFonts w:ascii="Times New Roman" w:cs="Times New Roman" w:eastAsia="Times New Roman" w:hAnsi="Times New Roman"/>
          <w:sz w:val="18"/>
          <w:szCs w:val="18"/>
          <w:color w:val="auto"/>
        </w:rPr>
      </w:pPr>
    </w:p>
    <w:p>
      <w:pPr>
        <w:ind w:left="680" w:hanging="244"/>
        <w:spacing w:after="0"/>
        <w:tabs>
          <w:tab w:leader="none" w:pos="680" w:val="left"/>
        </w:tabs>
        <w:numPr>
          <w:ilvl w:val="0"/>
          <w:numId w:val="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add guarantees with respect to the Notes;</w:t>
      </w:r>
    </w:p>
    <w:p>
      <w:pPr>
        <w:spacing w:after="0" w:line="225"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secure the Notes;</w:t>
      </w:r>
    </w:p>
    <w:p>
      <w:pPr>
        <w:spacing w:after="0" w:line="225" w:lineRule="exact"/>
        <w:rPr>
          <w:rFonts w:ascii="Times New Roman" w:cs="Times New Roman" w:eastAsia="Times New Roman" w:hAnsi="Times New Roman"/>
          <w:sz w:val="18"/>
          <w:szCs w:val="18"/>
          <w:color w:val="auto"/>
        </w:rPr>
      </w:pPr>
    </w:p>
    <w:p>
      <w:pPr>
        <w:ind w:right="80" w:firstLine="436"/>
        <w:spacing w:after="0" w:line="282" w:lineRule="auto"/>
        <w:tabs>
          <w:tab w:leader="none" w:pos="685" w:val="left"/>
        </w:tabs>
        <w:numPr>
          <w:ilvl w:val="0"/>
          <w:numId w:val="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add to the covenants or Events of Default of the Company for the benefit of the Holders or surrender any right or power conferred upon the Company;</w:t>
      </w:r>
    </w:p>
    <w:p>
      <w:pPr>
        <w:spacing w:after="0" w:line="161" w:lineRule="exact"/>
        <w:rPr>
          <w:rFonts w:ascii="Times New Roman" w:cs="Times New Roman" w:eastAsia="Times New Roman" w:hAnsi="Times New Roman"/>
          <w:sz w:val="18"/>
          <w:szCs w:val="18"/>
          <w:color w:val="auto"/>
        </w:rPr>
      </w:pPr>
    </w:p>
    <w:p>
      <w:pPr>
        <w:ind w:left="660" w:hanging="224"/>
        <w:spacing w:after="0"/>
        <w:tabs>
          <w:tab w:leader="none" w:pos="660" w:val="left"/>
        </w:tabs>
        <w:numPr>
          <w:ilvl w:val="0"/>
          <w:numId w:val="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make any change that does not adversely affect the rights of any Holder;</w:t>
      </w:r>
    </w:p>
    <w:p>
      <w:pPr>
        <w:spacing w:after="0" w:line="225" w:lineRule="exact"/>
        <w:rPr>
          <w:rFonts w:ascii="Times New Roman" w:cs="Times New Roman" w:eastAsia="Times New Roman" w:hAnsi="Times New Roman"/>
          <w:sz w:val="18"/>
          <w:szCs w:val="18"/>
          <w:color w:val="auto"/>
        </w:rPr>
      </w:pPr>
    </w:p>
    <w:p>
      <w:pPr>
        <w:ind w:right="200" w:firstLine="436"/>
        <w:spacing w:after="0" w:line="282" w:lineRule="auto"/>
        <w:tabs>
          <w:tab w:leader="none" w:pos="695" w:val="left"/>
        </w:tabs>
        <w:numPr>
          <w:ilvl w:val="0"/>
          <w:numId w:val="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connection with any Share Exchange Event, to provide that the Notes are convertible into Reference Property, subject to the provisions of Section 14.02, and make such related changes to the terms of the Notes to the extent expressly required by Section 14.07;</w:t>
      </w:r>
    </w:p>
    <w:p>
      <w:pPr>
        <w:spacing w:after="0" w:line="161"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conform the provisions of this Indenture or the Notes to the “Description of Notes” section of the Offering Memorandum;</w:t>
      </w:r>
    </w:p>
    <w:p>
      <w:pPr>
        <w:spacing w:after="0" w:line="158"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52</w:t>
      </w:r>
    </w:p>
    <w:p>
      <w:pPr>
        <w:sectPr>
          <w:pgSz w:w="11900" w:h="16838" w:orient="portrait"/>
          <w:cols w:equalWidth="0" w:num="1">
            <w:col w:w="10980"/>
          </w:cols>
          <w:pgMar w:left="440" w:top="270" w:right="479" w:bottom="1440" w:gutter="0" w:footer="0" w:header="0"/>
        </w:sectPr>
      </w:pPr>
    </w:p>
    <w:bookmarkStart w:id="63" w:name="page64"/>
    <w:bookmarkEnd w:id="63"/>
    <w:p>
      <w:pPr>
        <w:ind w:left="660" w:hanging="224"/>
        <w:spacing w:after="0"/>
        <w:tabs>
          <w:tab w:leader="none" w:pos="660" w:val="left"/>
        </w:tabs>
        <w:numPr>
          <w:ilvl w:val="0"/>
          <w:numId w:val="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to increase the Conversion Rate as provided in this Indenture;</w:t>
      </w:r>
    </w:p>
    <w:p>
      <w:pPr>
        <w:spacing w:after="0" w:line="225" w:lineRule="exact"/>
        <w:rPr>
          <w:rFonts w:ascii="Times New Roman" w:cs="Times New Roman" w:eastAsia="Times New Roman" w:hAnsi="Times New Roman"/>
          <w:sz w:val="18"/>
          <w:szCs w:val="18"/>
          <w:color w:val="auto"/>
        </w:rPr>
      </w:pPr>
    </w:p>
    <w:p>
      <w:pPr>
        <w:ind w:left="660" w:hanging="224"/>
        <w:spacing w:after="0"/>
        <w:tabs>
          <w:tab w:leader="none" w:pos="660" w:val="left"/>
        </w:tabs>
        <w:numPr>
          <w:ilvl w:val="0"/>
          <w:numId w:val="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provide for the issuance of additional Notes in accordance with the limitations set forth in this Indenture;</w:t>
      </w:r>
    </w:p>
    <w:p>
      <w:pPr>
        <w:spacing w:after="0" w:line="225" w:lineRule="exact"/>
        <w:rPr>
          <w:rFonts w:ascii="Times New Roman" w:cs="Times New Roman" w:eastAsia="Times New Roman" w:hAnsi="Times New Roman"/>
          <w:sz w:val="18"/>
          <w:szCs w:val="18"/>
          <w:color w:val="auto"/>
        </w:rPr>
      </w:pPr>
    </w:p>
    <w:p>
      <w:pPr>
        <w:ind w:right="500" w:firstLine="436"/>
        <w:spacing w:after="0" w:line="282" w:lineRule="auto"/>
        <w:tabs>
          <w:tab w:leader="none" w:pos="695" w:val="left"/>
        </w:tabs>
        <w:numPr>
          <w:ilvl w:val="0"/>
          <w:numId w:val="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provide for the acceptance of appointment by a successor trustee, registrar, paying agent, bid solicitation agent or conversion agent or facilitate the administration of the trusts under this Indenture by more than one trustee or paying agent;</w:t>
      </w:r>
    </w:p>
    <w:p>
      <w:pPr>
        <w:spacing w:after="0" w:line="161" w:lineRule="exact"/>
        <w:rPr>
          <w:rFonts w:ascii="Times New Roman" w:cs="Times New Roman" w:eastAsia="Times New Roman" w:hAnsi="Times New Roman"/>
          <w:sz w:val="18"/>
          <w:szCs w:val="18"/>
          <w:color w:val="auto"/>
        </w:rPr>
      </w:pPr>
    </w:p>
    <w:p>
      <w:pPr>
        <w:ind w:right="360" w:firstLine="436"/>
        <w:spacing w:after="0" w:line="312" w:lineRule="auto"/>
        <w:tabs>
          <w:tab w:leader="none" w:pos="655" w:val="left"/>
        </w:tabs>
        <w:numPr>
          <w:ilvl w:val="0"/>
          <w:numId w:val="38"/>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to irrevocably elect or eliminate one of the Settlement Methods and/or irrevocably elect a Specified Dollar Amount to the extent that no election or deemed election of any Settlement Method or Specified Dollar Amount has been effected, all as described in Section 14.02(a)(iii)(B); or</w:t>
      </w:r>
    </w:p>
    <w:p>
      <w:pPr>
        <w:spacing w:after="0" w:line="139" w:lineRule="exact"/>
        <w:rPr>
          <w:rFonts w:ascii="Times New Roman" w:cs="Times New Roman" w:eastAsia="Times New Roman" w:hAnsi="Times New Roman"/>
          <w:sz w:val="17"/>
          <w:szCs w:val="17"/>
          <w:color w:val="auto"/>
        </w:rPr>
      </w:pPr>
    </w:p>
    <w:p>
      <w:pPr>
        <w:ind w:left="740" w:hanging="304"/>
        <w:spacing w:after="0"/>
        <w:tabs>
          <w:tab w:leader="none" w:pos="740" w:val="left"/>
        </w:tabs>
        <w:numPr>
          <w:ilvl w:val="0"/>
          <w:numId w:val="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comply with the rules of any applicable securities depositary in a manner that does not adversely affect the rights of any Holder.</w:t>
      </w:r>
    </w:p>
    <w:p>
      <w:pPr>
        <w:spacing w:after="0" w:line="225" w:lineRule="exact"/>
        <w:rPr>
          <w:sz w:val="20"/>
          <w:szCs w:val="20"/>
          <w:color w:val="auto"/>
        </w:rPr>
      </w:pPr>
    </w:p>
    <w:p>
      <w:pPr>
        <w:ind w:right="60" w:firstLine="440"/>
        <w:spacing w:after="0" w:line="289" w:lineRule="auto"/>
        <w:rPr>
          <w:sz w:val="20"/>
          <w:szCs w:val="20"/>
          <w:color w:val="auto"/>
        </w:rPr>
      </w:pPr>
      <w:r>
        <w:rPr>
          <w:rFonts w:ascii="Times New Roman" w:cs="Times New Roman" w:eastAsia="Times New Roman" w:hAnsi="Times New Roman"/>
          <w:sz w:val="17"/>
          <w:szCs w:val="17"/>
          <w:color w:val="auto"/>
        </w:rPr>
        <w:t>Upon the written request of the Company, the Trustee is hereby authorized to join with the Company in the execution of any such supplemental indenture, to make any further appropriate agreements and stipulations that may be therein contained, but the Trustee shall not be obligated to, but may, enter into any supplemental indenture that affects the Trustee’s own rights, duties, privileges, liabilities or immunities under this Indenture or otherwise.</w:t>
      </w:r>
    </w:p>
    <w:p>
      <w:pPr>
        <w:spacing w:after="0" w:line="158" w:lineRule="exact"/>
        <w:rPr>
          <w:sz w:val="20"/>
          <w:szCs w:val="20"/>
          <w:color w:val="auto"/>
        </w:rPr>
      </w:pPr>
    </w:p>
    <w:p>
      <w:pPr>
        <w:ind w:right="380" w:firstLine="440"/>
        <w:spacing w:after="0" w:line="282" w:lineRule="auto"/>
        <w:rPr>
          <w:sz w:val="20"/>
          <w:szCs w:val="20"/>
          <w:color w:val="auto"/>
        </w:rPr>
      </w:pPr>
      <w:r>
        <w:rPr>
          <w:rFonts w:ascii="Times New Roman" w:cs="Times New Roman" w:eastAsia="Times New Roman" w:hAnsi="Times New Roman"/>
          <w:sz w:val="18"/>
          <w:szCs w:val="18"/>
          <w:color w:val="auto"/>
        </w:rPr>
        <w:t>Any supplemental indenture authorized by the provisions of this Section 10.01 may be executed by the Company and the Trustee without the consent of the Holders of any of the Notes at the time outstanding, notwithstanding any of the provisions of Section 10.02.</w:t>
      </w:r>
    </w:p>
    <w:p>
      <w:pPr>
        <w:spacing w:after="0" w:line="160" w:lineRule="exact"/>
        <w:rPr>
          <w:sz w:val="20"/>
          <w:szCs w:val="20"/>
          <w:color w:val="auto"/>
        </w:rPr>
      </w:pPr>
    </w:p>
    <w:p>
      <w:pPr>
        <w:ind w:firstLine="440"/>
        <w:spacing w:after="0" w:line="256" w:lineRule="auto"/>
        <w:rPr>
          <w:sz w:val="20"/>
          <w:szCs w:val="20"/>
          <w:color w:val="auto"/>
        </w:rPr>
      </w:pPr>
      <w:r>
        <w:rPr>
          <w:rFonts w:ascii="Times New Roman" w:cs="Times New Roman" w:eastAsia="Times New Roman" w:hAnsi="Times New Roman"/>
          <w:sz w:val="18"/>
          <w:szCs w:val="18"/>
          <w:color w:val="auto"/>
        </w:rPr>
        <w:t>Section 10.02</w:t>
      </w:r>
      <w:r>
        <w:rPr>
          <w:rFonts w:ascii="Times New Roman" w:cs="Times New Roman" w:eastAsia="Times New Roman" w:hAnsi="Times New Roman"/>
          <w:sz w:val="18"/>
          <w:szCs w:val="18"/>
          <w:i w:val="1"/>
          <w:iCs w:val="1"/>
          <w:color w:val="auto"/>
        </w:rPr>
        <w:t>. Supplemental Indentures with Consent of Holders.</w:t>
      </w:r>
      <w:r>
        <w:rPr>
          <w:rFonts w:ascii="Times New Roman" w:cs="Times New Roman" w:eastAsia="Times New Roman" w:hAnsi="Times New Roman"/>
          <w:sz w:val="18"/>
          <w:szCs w:val="18"/>
          <w:color w:val="auto"/>
        </w:rPr>
        <w:t xml:space="preserve"> With the consent (evidenced as provided in Article 8) of the Holders of at least a majority of the aggregate principal amount of the Notes then outstanding (determined in accordance with Article 8 and including, without limitation, consents obtained in connection with a repurchase of, or tender or exchange offer for, Notes), the Company, when authorized by the resolutions of the Board of Directors and the Trustee, at the Company’s expense, may from time to time and at any time enter into an indenture or indentures supplemental hereto for the purpose of adding any provisions to or changing in any manner or eliminating any of the provisions of this Indenture or any supplemental indenture or of modifying in any manner the rights of the Holders;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without the consent of each Holder of an outstanding Note affected, no such supplemental indenture shall:</w:t>
      </w:r>
    </w:p>
    <w:p>
      <w:pPr>
        <w:spacing w:after="0" w:line="185" w:lineRule="exact"/>
        <w:rPr>
          <w:sz w:val="20"/>
          <w:szCs w:val="20"/>
          <w:color w:val="auto"/>
        </w:rPr>
      </w:pPr>
    </w:p>
    <w:p>
      <w:pPr>
        <w:ind w:left="680" w:hanging="244"/>
        <w:spacing w:after="0"/>
        <w:tabs>
          <w:tab w:leader="none" w:pos="680" w:val="left"/>
        </w:tabs>
        <w:numPr>
          <w:ilvl w:val="0"/>
          <w:numId w:val="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reduce the amount of Notes whose Holders must consent to an amendment;</w:t>
      </w:r>
    </w:p>
    <w:p>
      <w:pPr>
        <w:spacing w:after="0" w:line="225"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reduce the rate of or extend the stated time for payment of interest on any Note;</w:t>
      </w:r>
    </w:p>
    <w:p>
      <w:pPr>
        <w:spacing w:after="0" w:line="225" w:lineRule="exact"/>
        <w:rPr>
          <w:rFonts w:ascii="Times New Roman" w:cs="Times New Roman" w:eastAsia="Times New Roman" w:hAnsi="Times New Roman"/>
          <w:sz w:val="18"/>
          <w:szCs w:val="18"/>
          <w:color w:val="auto"/>
        </w:rPr>
      </w:pPr>
    </w:p>
    <w:p>
      <w:pPr>
        <w:ind w:left="680" w:hanging="244"/>
        <w:spacing w:after="0"/>
        <w:tabs>
          <w:tab w:leader="none" w:pos="680" w:val="left"/>
        </w:tabs>
        <w:numPr>
          <w:ilvl w:val="0"/>
          <w:numId w:val="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reduce the principal of or extend the Maturity Date of any Note;</w:t>
      </w:r>
    </w:p>
    <w:p>
      <w:pPr>
        <w:spacing w:after="0" w:line="225"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make any change that adversely affects the conversion rights of any Notes;</w:t>
      </w:r>
    </w:p>
    <w:p>
      <w:pPr>
        <w:spacing w:after="0" w:line="158"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53</w:t>
      </w:r>
    </w:p>
    <w:p>
      <w:pPr>
        <w:sectPr>
          <w:pgSz w:w="11900" w:h="16838" w:orient="portrait"/>
          <w:cols w:equalWidth="0" w:num="1">
            <w:col w:w="10980"/>
          </w:cols>
          <w:pgMar w:left="440" w:top="270" w:right="479" w:bottom="1440" w:gutter="0" w:footer="0" w:header="0"/>
        </w:sectPr>
      </w:pPr>
    </w:p>
    <w:bookmarkStart w:id="64" w:name="page65"/>
    <w:bookmarkEnd w:id="64"/>
    <w:p>
      <w:pPr>
        <w:ind w:right="400" w:firstLine="436"/>
        <w:spacing w:after="0" w:line="266" w:lineRule="auto"/>
        <w:tabs>
          <w:tab w:leader="none" w:pos="685"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3">
                      <a:extLst>
                        <a:ext uri="{28A0092B-C50C-407E-A947-70E740481C1C}"/>
                      </a:extLst>
                    </a:blip>
                    <a:srcRect/>
                    <a:stretch>
                      <a:fillRect/>
                    </a:stretch>
                  </pic:blipFill>
                  <pic:spPr bwMode="auto">
                    <a:xfrm>
                      <a:off x="0" y="0"/>
                      <a:ext cx="7174865" cy="38735"/>
                    </a:xfrm>
                    <a:prstGeom prst="rect">
                      <a:avLst/>
                    </a:prstGeom>
                    <a:noFill/>
                  </pic:spPr>
                </pic:pic>
              </a:graphicData>
            </a:graphic>
          </wp:anchor>
        </w:drawing>
        <w:t>reduce the Redemption Price, the Repurchase Price or the Fundamental Change Repurchase Price of any Note or amend or modify in any manner adverse to the Holders the Company’s obligation to make such payments, whether through an amendment or waiver of provisions in the covenants, definitions or otherwise;</w:t>
      </w:r>
    </w:p>
    <w:p>
      <w:pPr>
        <w:spacing w:after="0" w:line="175" w:lineRule="exact"/>
        <w:rPr>
          <w:rFonts w:ascii="Times New Roman" w:cs="Times New Roman" w:eastAsia="Times New Roman" w:hAnsi="Times New Roman"/>
          <w:sz w:val="18"/>
          <w:szCs w:val="18"/>
          <w:color w:val="auto"/>
        </w:rPr>
      </w:pPr>
    </w:p>
    <w:p>
      <w:pPr>
        <w:ind w:left="660" w:hanging="224"/>
        <w:spacing w:after="0"/>
        <w:tabs>
          <w:tab w:leader="none" w:pos="660"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make any Note payable in a currency, or at a place of payment, other than that stated in the Note;</w:t>
      </w:r>
    </w:p>
    <w:p>
      <w:pPr>
        <w:spacing w:after="0" w:line="225"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change the ranking of the Notes in any manner adverse to Holders;</w:t>
      </w:r>
    </w:p>
    <w:p>
      <w:pPr>
        <w:spacing w:after="0" w:line="225"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impair the right of any Holder to institute suit for the enforcement of any payment on or with respect to such Holder’s Notes; or</w:t>
      </w:r>
    </w:p>
    <w:p>
      <w:pPr>
        <w:spacing w:after="0" w:line="225" w:lineRule="exact"/>
        <w:rPr>
          <w:rFonts w:ascii="Times New Roman" w:cs="Times New Roman" w:eastAsia="Times New Roman" w:hAnsi="Times New Roman"/>
          <w:sz w:val="18"/>
          <w:szCs w:val="18"/>
          <w:color w:val="auto"/>
        </w:rPr>
      </w:pPr>
    </w:p>
    <w:p>
      <w:pPr>
        <w:ind w:left="660" w:hanging="224"/>
        <w:spacing w:after="0"/>
        <w:tabs>
          <w:tab w:leader="none" w:pos="660"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make any change in this Article 10 that requires each Holder’s consent or in the waiver provisions in Section 6.02 or Section 6.09.</w:t>
      </w:r>
    </w:p>
    <w:p>
      <w:pPr>
        <w:spacing w:after="0" w:line="225" w:lineRule="exact"/>
        <w:rPr>
          <w:sz w:val="20"/>
          <w:szCs w:val="20"/>
          <w:color w:val="auto"/>
        </w:rPr>
      </w:pPr>
    </w:p>
    <w:p>
      <w:pPr>
        <w:ind w:right="20" w:firstLine="440"/>
        <w:spacing w:after="0" w:line="261" w:lineRule="auto"/>
        <w:rPr>
          <w:sz w:val="20"/>
          <w:szCs w:val="20"/>
          <w:color w:val="auto"/>
        </w:rPr>
      </w:pPr>
      <w:r>
        <w:rPr>
          <w:rFonts w:ascii="Times New Roman" w:cs="Times New Roman" w:eastAsia="Times New Roman" w:hAnsi="Times New Roman"/>
          <w:sz w:val="18"/>
          <w:szCs w:val="18"/>
          <w:color w:val="auto"/>
        </w:rPr>
        <w:t>Upon the written request of the Company, and upon the filing with the Trustee of evidence of the consent of Holders as aforesaid and subject to Section 10.05, the Trustee shall join with the Company in the execution of such supplemental indenture unless such supplemental indenture affects the Trustee’s own rights, duties or immunities under this Indenture or otherwise, in which case the Trustee may, but shall not be obligated to, enter into such supplemental indenture.</w:t>
      </w:r>
    </w:p>
    <w:p>
      <w:pPr>
        <w:spacing w:after="0" w:line="180" w:lineRule="exact"/>
        <w:rPr>
          <w:sz w:val="20"/>
          <w:szCs w:val="20"/>
          <w:color w:val="auto"/>
        </w:rPr>
      </w:pPr>
    </w:p>
    <w:p>
      <w:pPr>
        <w:ind w:firstLine="440"/>
        <w:spacing w:after="0" w:line="261" w:lineRule="auto"/>
        <w:rPr>
          <w:sz w:val="20"/>
          <w:szCs w:val="20"/>
          <w:color w:val="auto"/>
        </w:rPr>
      </w:pPr>
      <w:r>
        <w:rPr>
          <w:rFonts w:ascii="Times New Roman" w:cs="Times New Roman" w:eastAsia="Times New Roman" w:hAnsi="Times New Roman"/>
          <w:sz w:val="18"/>
          <w:szCs w:val="18"/>
          <w:color w:val="auto"/>
        </w:rPr>
        <w:t>Holders do not need under this Section 10.02 to approve the particular form of any proposed supplemental indenture. It shall be sufficient if such Holders approve the substance thereof. After any such supplemental indenture becomes effective, the Company shall send to the Holders a notice briefly describing such supplemental indenture. However, the failure to give such notice to all the Holders, or any defect in the notice, will not impair or affect the validity of the supplemental indenture.</w:t>
      </w:r>
    </w:p>
    <w:p>
      <w:pPr>
        <w:spacing w:after="0" w:line="178" w:lineRule="exact"/>
        <w:rPr>
          <w:sz w:val="20"/>
          <w:szCs w:val="20"/>
          <w:color w:val="auto"/>
        </w:rPr>
      </w:pPr>
    </w:p>
    <w:p>
      <w:pPr>
        <w:ind w:right="80" w:firstLine="440"/>
        <w:spacing w:after="0" w:line="258" w:lineRule="auto"/>
        <w:rPr>
          <w:sz w:val="20"/>
          <w:szCs w:val="20"/>
          <w:color w:val="auto"/>
        </w:rPr>
      </w:pPr>
      <w:r>
        <w:rPr>
          <w:rFonts w:ascii="Times New Roman" w:cs="Times New Roman" w:eastAsia="Times New Roman" w:hAnsi="Times New Roman"/>
          <w:sz w:val="18"/>
          <w:szCs w:val="18"/>
          <w:color w:val="auto"/>
        </w:rPr>
        <w:t>Section 10.03</w:t>
      </w:r>
      <w:r>
        <w:rPr>
          <w:rFonts w:ascii="Times New Roman" w:cs="Times New Roman" w:eastAsia="Times New Roman" w:hAnsi="Times New Roman"/>
          <w:sz w:val="18"/>
          <w:szCs w:val="18"/>
          <w:i w:val="1"/>
          <w:iCs w:val="1"/>
          <w:color w:val="auto"/>
        </w:rPr>
        <w:t>. Effect of Supplemental Indentures.</w:t>
      </w:r>
      <w:r>
        <w:rPr>
          <w:rFonts w:ascii="Times New Roman" w:cs="Times New Roman" w:eastAsia="Times New Roman" w:hAnsi="Times New Roman"/>
          <w:sz w:val="18"/>
          <w:szCs w:val="18"/>
          <w:color w:val="auto"/>
        </w:rPr>
        <w:t xml:space="preserve"> Upon the execution of any supplemental indenture pursuant to the provisions of this Article 10, this Indenture shall be and be deemed to be modified and amended in accordance therewith and the respective rights, limitation of rights, obligations, privileges, duties and immunities under this Indenture of the Trustee, the Company and the Holders shall thereafter be determined, exercised and enforced hereunder subject in all respects to such modifications and amendments and all the terms and conditions of any such supplemental indenture shall be and be deemed to be part of the terms and conditions of this Indenture for any and all purposes.</w:t>
      </w:r>
    </w:p>
    <w:p>
      <w:pPr>
        <w:spacing w:after="0" w:line="183" w:lineRule="exact"/>
        <w:rPr>
          <w:sz w:val="20"/>
          <w:szCs w:val="20"/>
          <w:color w:val="auto"/>
        </w:rPr>
      </w:pPr>
    </w:p>
    <w:p>
      <w:pPr>
        <w:ind w:firstLine="440"/>
        <w:spacing w:after="0" w:line="257" w:lineRule="auto"/>
        <w:rPr>
          <w:sz w:val="20"/>
          <w:szCs w:val="20"/>
          <w:color w:val="auto"/>
        </w:rPr>
      </w:pPr>
      <w:r>
        <w:rPr>
          <w:rFonts w:ascii="Times New Roman" w:cs="Times New Roman" w:eastAsia="Times New Roman" w:hAnsi="Times New Roman"/>
          <w:sz w:val="18"/>
          <w:szCs w:val="18"/>
          <w:color w:val="auto"/>
        </w:rPr>
        <w:t>Section 10.04</w:t>
      </w:r>
      <w:r>
        <w:rPr>
          <w:rFonts w:ascii="Times New Roman" w:cs="Times New Roman" w:eastAsia="Times New Roman" w:hAnsi="Times New Roman"/>
          <w:sz w:val="18"/>
          <w:szCs w:val="18"/>
          <w:i w:val="1"/>
          <w:iCs w:val="1"/>
          <w:color w:val="auto"/>
        </w:rPr>
        <w:t>. Notation on Notes.</w:t>
      </w:r>
      <w:r>
        <w:rPr>
          <w:rFonts w:ascii="Times New Roman" w:cs="Times New Roman" w:eastAsia="Times New Roman" w:hAnsi="Times New Roman"/>
          <w:sz w:val="18"/>
          <w:szCs w:val="18"/>
          <w:color w:val="auto"/>
        </w:rPr>
        <w:t xml:space="preserve"> Notes authenticated and delivered after the execution of any supplemental indenture pursuant to the provisions of this Article 10 may, at the Company’s expense, bear a notation in a form approved by the Trustee as to any matter provided for in such supplemental indenture. If the Company or the Trustee shall so determine, new Notes so modified as to conform, in the opinion of the Trustee and the Board of Directors, to any modification of this Indenture contained in any such supplemental indenture may, at the Company’s expense, be prepared and executed by the Company, authenticated, upon receipt of a Company Order, by the Trustee (or an authenticating agent duly appointed by the Trustee pursuant to Section 17.10) and delivered in exchange for the Notes then outstanding, upon surrender of such Notes then outstanding.</w:t>
      </w:r>
    </w:p>
    <w:p>
      <w:pPr>
        <w:spacing w:after="0" w:line="11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54</w:t>
      </w:r>
    </w:p>
    <w:p>
      <w:pPr>
        <w:sectPr>
          <w:pgSz w:w="11900" w:h="16838" w:orient="portrait"/>
          <w:cols w:equalWidth="0" w:num="1">
            <w:col w:w="10980"/>
          </w:cols>
          <w:pgMar w:left="440" w:top="270" w:right="479" w:bottom="1440" w:gutter="0" w:footer="0" w:header="0"/>
        </w:sectPr>
      </w:pPr>
    </w:p>
    <w:bookmarkStart w:id="65" w:name="page66"/>
    <w:bookmarkEnd w:id="65"/>
    <w:p>
      <w:pPr>
        <w:ind w:right="140" w:firstLine="440"/>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10.05</w:t>
      </w:r>
      <w:r>
        <w:rPr>
          <w:rFonts w:ascii="Times New Roman" w:cs="Times New Roman" w:eastAsia="Times New Roman" w:hAnsi="Times New Roman"/>
          <w:sz w:val="18"/>
          <w:szCs w:val="18"/>
          <w:i w:val="1"/>
          <w:iCs w:val="1"/>
          <w:color w:val="auto"/>
        </w:rPr>
        <w:t>. Evidence of Compliance of Supplemental Indenture to Be Furnished Trustee.</w:t>
      </w:r>
      <w:r>
        <w:rPr>
          <w:rFonts w:ascii="Times New Roman" w:cs="Times New Roman" w:eastAsia="Times New Roman" w:hAnsi="Times New Roman"/>
          <w:sz w:val="18"/>
          <w:szCs w:val="18"/>
          <w:color w:val="auto"/>
        </w:rPr>
        <w:t xml:space="preserve"> In addition to the documents required by Section 17.05, the Trustee shall receive an Officer’s Certificate and an Opinion of Counsel as conclusive evidence that any supplemental indenture executed pursuant hereto complies with the requirements of this Article 10 and is permitted or authorized by this Indenture and that such supplemental indenture constitutes the legal valid and binding obligation of the Company enforceable in accordance with its terms, subject to customary exceptions and qualifications.</w:t>
      </w:r>
    </w:p>
    <w:p>
      <w:pPr>
        <w:spacing w:after="0" w:line="185"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ARTICLE 11</w:t>
      </w:r>
    </w:p>
    <w:p>
      <w:pPr>
        <w:spacing w:after="0" w:line="2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C</w:t>
      </w:r>
      <w:r>
        <w:rPr>
          <w:rFonts w:ascii="Times New Roman" w:cs="Times New Roman" w:eastAsia="Times New Roman" w:hAnsi="Times New Roman"/>
          <w:sz w:val="14"/>
          <w:szCs w:val="14"/>
          <w:color w:val="auto"/>
        </w:rPr>
        <w:t>ONSOLIDATION</w:t>
      </w:r>
      <w:r>
        <w:rPr>
          <w:rFonts w:ascii="Times New Roman" w:cs="Times New Roman" w:eastAsia="Times New Roman" w:hAnsi="Times New Roman"/>
          <w:sz w:val="18"/>
          <w:szCs w:val="18"/>
          <w:color w:val="auto"/>
        </w:rPr>
        <w:t>, M</w:t>
      </w:r>
      <w:r>
        <w:rPr>
          <w:rFonts w:ascii="Times New Roman" w:cs="Times New Roman" w:eastAsia="Times New Roman" w:hAnsi="Times New Roman"/>
          <w:sz w:val="14"/>
          <w:szCs w:val="14"/>
          <w:color w:val="auto"/>
        </w:rPr>
        <w:t>ERGER</w:t>
      </w:r>
      <w:r>
        <w:rPr>
          <w:rFonts w:ascii="Times New Roman" w:cs="Times New Roman" w:eastAsia="Times New Roman" w:hAnsi="Times New Roman"/>
          <w:sz w:val="18"/>
          <w:szCs w:val="18"/>
          <w:color w:val="auto"/>
        </w:rPr>
        <w:t>, S</w:t>
      </w:r>
      <w:r>
        <w:rPr>
          <w:rFonts w:ascii="Times New Roman" w:cs="Times New Roman" w:eastAsia="Times New Roman" w:hAnsi="Times New Roman"/>
          <w:sz w:val="14"/>
          <w:szCs w:val="14"/>
          <w:color w:val="auto"/>
        </w:rPr>
        <w:t>ALE</w:t>
      </w:r>
      <w:r>
        <w:rPr>
          <w:rFonts w:ascii="Times New Roman" w:cs="Times New Roman" w:eastAsia="Times New Roman" w:hAnsi="Times New Roman"/>
          <w:sz w:val="18"/>
          <w:szCs w:val="18"/>
          <w:color w:val="auto"/>
        </w:rPr>
        <w:t>, C</w:t>
      </w:r>
      <w:r>
        <w:rPr>
          <w:rFonts w:ascii="Times New Roman" w:cs="Times New Roman" w:eastAsia="Times New Roman" w:hAnsi="Times New Roman"/>
          <w:sz w:val="14"/>
          <w:szCs w:val="14"/>
          <w:color w:val="auto"/>
        </w:rPr>
        <w:t>ONVEYANCE AND</w:t>
      </w:r>
      <w:r>
        <w:rPr>
          <w:rFonts w:ascii="Times New Roman" w:cs="Times New Roman" w:eastAsia="Times New Roman" w:hAnsi="Times New Roman"/>
          <w:sz w:val="18"/>
          <w:szCs w:val="18"/>
          <w:color w:val="auto"/>
        </w:rPr>
        <w:t xml:space="preserve"> L</w:t>
      </w:r>
      <w:r>
        <w:rPr>
          <w:rFonts w:ascii="Times New Roman" w:cs="Times New Roman" w:eastAsia="Times New Roman" w:hAnsi="Times New Roman"/>
          <w:sz w:val="14"/>
          <w:szCs w:val="14"/>
          <w:color w:val="auto"/>
        </w:rPr>
        <w:t>EASE</w:t>
      </w:r>
    </w:p>
    <w:p>
      <w:pPr>
        <w:spacing w:after="0" w:line="205" w:lineRule="exact"/>
        <w:rPr>
          <w:sz w:val="20"/>
          <w:szCs w:val="20"/>
          <w:color w:val="auto"/>
        </w:rPr>
      </w:pPr>
    </w:p>
    <w:p>
      <w:pPr>
        <w:jc w:val="both"/>
        <w:ind w:right="140" w:firstLine="440"/>
        <w:spacing w:after="0" w:line="267" w:lineRule="auto"/>
        <w:rPr>
          <w:sz w:val="20"/>
          <w:szCs w:val="20"/>
          <w:color w:val="auto"/>
        </w:rPr>
      </w:pPr>
      <w:r>
        <w:rPr>
          <w:rFonts w:ascii="Times New Roman" w:cs="Times New Roman" w:eastAsia="Times New Roman" w:hAnsi="Times New Roman"/>
          <w:sz w:val="18"/>
          <w:szCs w:val="18"/>
          <w:color w:val="auto"/>
        </w:rPr>
        <w:t>Section 11.01</w:t>
      </w:r>
      <w:r>
        <w:rPr>
          <w:rFonts w:ascii="Times New Roman" w:cs="Times New Roman" w:eastAsia="Times New Roman" w:hAnsi="Times New Roman"/>
          <w:sz w:val="18"/>
          <w:szCs w:val="18"/>
          <w:i w:val="1"/>
          <w:iCs w:val="1"/>
          <w:color w:val="auto"/>
        </w:rPr>
        <w:t>. Company May Consolidate, Etc. on Certain Terms.</w:t>
      </w:r>
      <w:r>
        <w:rPr>
          <w:rFonts w:ascii="Times New Roman" w:cs="Times New Roman" w:eastAsia="Times New Roman" w:hAnsi="Times New Roman"/>
          <w:sz w:val="18"/>
          <w:szCs w:val="18"/>
          <w:color w:val="auto"/>
        </w:rPr>
        <w:t xml:space="preserve"> Subject to the provisions of Section 11.02, the Company shall not consolidate with, merge with or into, or sell, convey, transfer or lease all or substantially all of its properties and assets to another Person (other than any such sale, conveyance, transfer or lease to one or more of the Company’s direct or indirect Wholly Owned Subsidiaries), unless:</w:t>
      </w:r>
    </w:p>
    <w:p>
      <w:pPr>
        <w:spacing w:after="0" w:line="17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(a) The Company is the surviving corporation (in the case of a consolidation or merger) or the resulting, surviving or transferee Person (the</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Successor Company</w:t>
      </w:r>
      <w:r>
        <w:rPr>
          <w:rFonts w:ascii="Times New Roman" w:cs="Times New Roman" w:eastAsia="Times New Roman" w:hAnsi="Times New Roman"/>
          <w:sz w:val="18"/>
          <w:szCs w:val="18"/>
          <w:color w:val="auto"/>
        </w:rPr>
        <w:t>”), if not the Company, shall be a corporation organized and existing under the laws of the United States of America, any State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thereof or the District of Columbia, and the Successor Company (if not the Company) shall expressly assume, by supplemental indenture all of the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obligations of the Company under the Notes and this Indenture; and</w:t>
      </w:r>
    </w:p>
    <w:p>
      <w:pPr>
        <w:spacing w:after="0" w:line="207"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(b) immediately after giving effect to such transaction, no Default or Event of Default shall have occurred and be continuing under this Indenture.</w:t>
      </w:r>
    </w:p>
    <w:p>
      <w:pPr>
        <w:spacing w:after="0" w:line="225" w:lineRule="exact"/>
        <w:rPr>
          <w:sz w:val="20"/>
          <w:szCs w:val="20"/>
          <w:color w:val="auto"/>
        </w:rPr>
      </w:pPr>
    </w:p>
    <w:p>
      <w:pPr>
        <w:ind w:firstLine="440"/>
        <w:spacing w:after="0" w:line="261" w:lineRule="auto"/>
        <w:rPr>
          <w:sz w:val="20"/>
          <w:szCs w:val="20"/>
          <w:color w:val="auto"/>
        </w:rPr>
      </w:pPr>
      <w:r>
        <w:rPr>
          <w:rFonts w:ascii="Times New Roman" w:cs="Times New Roman" w:eastAsia="Times New Roman" w:hAnsi="Times New Roman"/>
          <w:sz w:val="18"/>
          <w:szCs w:val="18"/>
          <w:color w:val="auto"/>
        </w:rPr>
        <w:t>For purposes of this Section 11.01, the sale, conveyance, transfer or lease of all or substantially all of the properties and assets of one or more Subsidiaries of the Company to another Person, which properties and assets, if held by the Company instead of such Subsidiaries, would constitute all or substantially all of the properties and assets of the Company on a consolidated basis, shall be deemed to be the sale, conveyance, transfer or lease of all or substantially all of the properties and assets of the Company to another Person.</w:t>
      </w:r>
    </w:p>
    <w:p>
      <w:pPr>
        <w:spacing w:after="0" w:line="178" w:lineRule="exact"/>
        <w:rPr>
          <w:sz w:val="20"/>
          <w:szCs w:val="20"/>
          <w:color w:val="auto"/>
        </w:rPr>
      </w:pPr>
    </w:p>
    <w:p>
      <w:pPr>
        <w:ind w:right="40" w:firstLine="440"/>
        <w:spacing w:after="0" w:line="258" w:lineRule="auto"/>
        <w:rPr>
          <w:sz w:val="20"/>
          <w:szCs w:val="20"/>
          <w:color w:val="auto"/>
        </w:rPr>
      </w:pPr>
      <w:r>
        <w:rPr>
          <w:rFonts w:ascii="Times New Roman" w:cs="Times New Roman" w:eastAsia="Times New Roman" w:hAnsi="Times New Roman"/>
          <w:sz w:val="18"/>
          <w:szCs w:val="18"/>
          <w:color w:val="auto"/>
        </w:rPr>
        <w:t>Section 11.02</w:t>
      </w:r>
      <w:r>
        <w:rPr>
          <w:rFonts w:ascii="Times New Roman" w:cs="Times New Roman" w:eastAsia="Times New Roman" w:hAnsi="Times New Roman"/>
          <w:sz w:val="18"/>
          <w:szCs w:val="18"/>
          <w:i w:val="1"/>
          <w:iCs w:val="1"/>
          <w:color w:val="auto"/>
        </w:rPr>
        <w:t>. Successor Corporation to Be Substituted.</w:t>
      </w:r>
      <w:r>
        <w:rPr>
          <w:rFonts w:ascii="Times New Roman" w:cs="Times New Roman" w:eastAsia="Times New Roman" w:hAnsi="Times New Roman"/>
          <w:sz w:val="18"/>
          <w:szCs w:val="18"/>
          <w:color w:val="auto"/>
        </w:rPr>
        <w:t xml:space="preserve"> In case of any such consolidation, merger, sale, conveyance, transfer or lease and upon the assumption by the Successor Company, by supplemental indenture, executed and delivered to the Trustee and satisfactory in form to the Trustee, of the due and punctual payment of the principal of and accrued and unpaid interest on all of the Notes, the due and punctual delivery or payment, as the case may be, of any consideration due upon conversion of the Notes and the due and punctual performance of all of the covenants and conditions of this Indenture to be performed by the Company, such Successor Company (if not the Company) shall succeed to and, except in the</w:t>
      </w:r>
    </w:p>
    <w:p>
      <w:pPr>
        <w:spacing w:after="0" w:line="118"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55</w:t>
      </w:r>
    </w:p>
    <w:p>
      <w:pPr>
        <w:sectPr>
          <w:pgSz w:w="11900" w:h="16838" w:orient="portrait"/>
          <w:cols w:equalWidth="0" w:num="1">
            <w:col w:w="10980"/>
          </w:cols>
          <w:pgMar w:left="440" w:top="268" w:right="479" w:bottom="1440" w:gutter="0" w:footer="0" w:header="0"/>
        </w:sectPr>
      </w:pPr>
    </w:p>
    <w:bookmarkStart w:id="66" w:name="page67"/>
    <w:bookmarkEnd w:id="66"/>
    <w:p>
      <w:pPr>
        <w:spacing w:after="0" w:line="269" w:lineRule="auto"/>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case of a lease of all or substantially all of the Company’s properties and assets, shall be substituted for the Company, with the same effect as if it had been named herein as the party of the first part. Such Successor Company thereupon may cause to be signed, and may issue either in its own name or in the name of the Company any or all of the Notes issuable hereunder which theretofore shall not have been signed by the Company and delivered to the Trustee; and, upon the written order of such Successor Company instead of the Company and subject to all the terms, conditions and limitations in this Indenture prescribed, the Trustee shall authenticate and shall deliver, or cause to be authenticated and delivered, any Notes that previously shall have been signed and delivered by the Officers of the Company to the Trustee for authentication, and any Notes that such Successor Company thereafter shall cause to be signed and delivered to the Trustee for that purpose. All the Notes so issued shall in all respects have the same legal rank and benefit under this Indenture as the Notes theretofore or thereafter issued in accordance with the terms of this Indenture as though all of such Notes had been issued at the date of the execution hereof. In the event of any such consolidation, merger, sale, conveyance or transfer (but not in the case of a lease), upon compliance with this Article 11 the Person named as the “Company” in the first paragraph of this Indenture (or any successor that shall thereafter have become such in the manner prescribed in this Article 11) may be dissolved, wound up and liquidated at any time thereafter and, except in the case of a lease, such Person shall be released from its liabilities as obligor and maker of the Notes and from its obligations under this Indenture and the Notes.</w:t>
      </w:r>
    </w:p>
    <w:p>
      <w:pPr>
        <w:spacing w:after="0" w:line="179" w:lineRule="exact"/>
        <w:rPr>
          <w:sz w:val="20"/>
          <w:szCs w:val="20"/>
          <w:color w:val="auto"/>
        </w:rPr>
      </w:pPr>
    </w:p>
    <w:p>
      <w:pPr>
        <w:ind w:firstLine="440"/>
        <w:spacing w:after="0" w:line="282" w:lineRule="auto"/>
        <w:rPr>
          <w:sz w:val="20"/>
          <w:szCs w:val="20"/>
          <w:color w:val="auto"/>
        </w:rPr>
      </w:pPr>
      <w:r>
        <w:rPr>
          <w:rFonts w:ascii="Times New Roman" w:cs="Times New Roman" w:eastAsia="Times New Roman" w:hAnsi="Times New Roman"/>
          <w:sz w:val="18"/>
          <w:szCs w:val="18"/>
          <w:color w:val="auto"/>
        </w:rPr>
        <w:t>In case of any such consolidation, merger, sale, conveyance, transfer or lease, such changes in phraseology and form (but not in substance) may be made in the Notes thereafter to be issued as may be appropriate.</w:t>
      </w:r>
    </w:p>
    <w:p>
      <w:pPr>
        <w:spacing w:after="0" w:line="160" w:lineRule="exact"/>
        <w:rPr>
          <w:sz w:val="20"/>
          <w:szCs w:val="20"/>
          <w:color w:val="auto"/>
        </w:rPr>
      </w:pPr>
    </w:p>
    <w:p>
      <w:pPr>
        <w:ind w:right="300" w:firstLine="440"/>
        <w:spacing w:after="0" w:line="261" w:lineRule="auto"/>
        <w:rPr>
          <w:sz w:val="20"/>
          <w:szCs w:val="20"/>
          <w:color w:val="auto"/>
        </w:rPr>
      </w:pPr>
      <w:r>
        <w:rPr>
          <w:rFonts w:ascii="Times New Roman" w:cs="Times New Roman" w:eastAsia="Times New Roman" w:hAnsi="Times New Roman"/>
          <w:sz w:val="18"/>
          <w:szCs w:val="18"/>
          <w:color w:val="auto"/>
        </w:rPr>
        <w:t>Section 11.03</w:t>
      </w:r>
      <w:r>
        <w:rPr>
          <w:rFonts w:ascii="Times New Roman" w:cs="Times New Roman" w:eastAsia="Times New Roman" w:hAnsi="Times New Roman"/>
          <w:sz w:val="18"/>
          <w:szCs w:val="18"/>
          <w:i w:val="1"/>
          <w:iCs w:val="1"/>
          <w:color w:val="auto"/>
        </w:rPr>
        <w:t>. Opinion of Counsel to Be Given to Trustee.</w:t>
      </w:r>
      <w:r>
        <w:rPr>
          <w:rFonts w:ascii="Times New Roman" w:cs="Times New Roman" w:eastAsia="Times New Roman" w:hAnsi="Times New Roman"/>
          <w:sz w:val="18"/>
          <w:szCs w:val="18"/>
          <w:color w:val="auto"/>
        </w:rPr>
        <w:t xml:space="preserve"> No such consolidation, merger, sale, conveyance, transfer or lease shall be effective unless the Trustee shall receive an Officer’s Certificate and an Opinion of Counsel as conclusive evidence that any such consolidation, merger, sale, conveyance, transfer or lease and any such assumption and, if a supplemental indenture is required in connection with such transaction, such supplemental indenture, complies with the provisions of this Article 11.</w:t>
      </w:r>
    </w:p>
    <w:p>
      <w:pPr>
        <w:spacing w:after="0" w:line="182"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ARTICLE 12</w:t>
      </w:r>
    </w:p>
    <w:p>
      <w:pPr>
        <w:spacing w:after="0" w:line="2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I</w:t>
      </w:r>
      <w:r>
        <w:rPr>
          <w:rFonts w:ascii="Times New Roman" w:cs="Times New Roman" w:eastAsia="Times New Roman" w:hAnsi="Times New Roman"/>
          <w:sz w:val="14"/>
          <w:szCs w:val="14"/>
          <w:color w:val="auto"/>
        </w:rPr>
        <w:t>MMUNITY OF</w:t>
      </w:r>
      <w:r>
        <w:rPr>
          <w:rFonts w:ascii="Times New Roman" w:cs="Times New Roman" w:eastAsia="Times New Roman" w:hAnsi="Times New Roman"/>
          <w:sz w:val="18"/>
          <w:szCs w:val="18"/>
          <w:color w:val="auto"/>
        </w:rPr>
        <w:t xml:space="preserve"> I</w:t>
      </w:r>
      <w:r>
        <w:rPr>
          <w:rFonts w:ascii="Times New Roman" w:cs="Times New Roman" w:eastAsia="Times New Roman" w:hAnsi="Times New Roman"/>
          <w:sz w:val="14"/>
          <w:szCs w:val="14"/>
          <w:color w:val="auto"/>
        </w:rPr>
        <w:t>NCORPORATORS</w:t>
      </w:r>
      <w:r>
        <w:rPr>
          <w:rFonts w:ascii="Times New Roman" w:cs="Times New Roman" w:eastAsia="Times New Roman" w:hAnsi="Times New Roman"/>
          <w:sz w:val="18"/>
          <w:szCs w:val="18"/>
          <w:color w:val="auto"/>
        </w:rPr>
        <w:t>, S</w:t>
      </w:r>
      <w:r>
        <w:rPr>
          <w:rFonts w:ascii="Times New Roman" w:cs="Times New Roman" w:eastAsia="Times New Roman" w:hAnsi="Times New Roman"/>
          <w:sz w:val="14"/>
          <w:szCs w:val="14"/>
          <w:color w:val="auto"/>
        </w:rPr>
        <w:t>TOCKHOLDERS</w:t>
      </w:r>
      <w:r>
        <w:rPr>
          <w:rFonts w:ascii="Times New Roman" w:cs="Times New Roman" w:eastAsia="Times New Roman" w:hAnsi="Times New Roman"/>
          <w:sz w:val="18"/>
          <w:szCs w:val="18"/>
          <w:color w:val="auto"/>
        </w:rPr>
        <w:t>, O</w:t>
      </w:r>
      <w:r>
        <w:rPr>
          <w:rFonts w:ascii="Times New Roman" w:cs="Times New Roman" w:eastAsia="Times New Roman" w:hAnsi="Times New Roman"/>
          <w:sz w:val="14"/>
          <w:szCs w:val="14"/>
          <w:color w:val="auto"/>
        </w:rPr>
        <w:t>FFICERS AND</w:t>
      </w:r>
      <w:r>
        <w:rPr>
          <w:rFonts w:ascii="Times New Roman" w:cs="Times New Roman" w:eastAsia="Times New Roman" w:hAnsi="Times New Roman"/>
          <w:sz w:val="18"/>
          <w:szCs w:val="18"/>
          <w:color w:val="auto"/>
        </w:rPr>
        <w:t xml:space="preserve"> D</w:t>
      </w:r>
      <w:r>
        <w:rPr>
          <w:rFonts w:ascii="Times New Roman" w:cs="Times New Roman" w:eastAsia="Times New Roman" w:hAnsi="Times New Roman"/>
          <w:sz w:val="14"/>
          <w:szCs w:val="14"/>
          <w:color w:val="auto"/>
        </w:rPr>
        <w:t>IRECTORS</w:t>
      </w:r>
    </w:p>
    <w:p>
      <w:pPr>
        <w:spacing w:after="0" w:line="205" w:lineRule="exact"/>
        <w:rPr>
          <w:sz w:val="20"/>
          <w:szCs w:val="20"/>
          <w:color w:val="auto"/>
        </w:rPr>
      </w:pPr>
    </w:p>
    <w:p>
      <w:pPr>
        <w:ind w:right="20" w:firstLine="440"/>
        <w:spacing w:after="0" w:line="256" w:lineRule="auto"/>
        <w:rPr>
          <w:sz w:val="20"/>
          <w:szCs w:val="20"/>
          <w:color w:val="auto"/>
        </w:rPr>
      </w:pPr>
      <w:r>
        <w:rPr>
          <w:rFonts w:ascii="Times New Roman" w:cs="Times New Roman" w:eastAsia="Times New Roman" w:hAnsi="Times New Roman"/>
          <w:sz w:val="18"/>
          <w:szCs w:val="18"/>
          <w:color w:val="auto"/>
        </w:rPr>
        <w:t>Section 12.01</w:t>
      </w:r>
      <w:r>
        <w:rPr>
          <w:rFonts w:ascii="Times New Roman" w:cs="Times New Roman" w:eastAsia="Times New Roman" w:hAnsi="Times New Roman"/>
          <w:sz w:val="18"/>
          <w:szCs w:val="18"/>
          <w:i w:val="1"/>
          <w:iCs w:val="1"/>
          <w:color w:val="auto"/>
        </w:rPr>
        <w:t>. Indenture and Notes Solely Corporate Obligations.</w:t>
      </w:r>
      <w:r>
        <w:rPr>
          <w:rFonts w:ascii="Times New Roman" w:cs="Times New Roman" w:eastAsia="Times New Roman" w:hAnsi="Times New Roman"/>
          <w:sz w:val="18"/>
          <w:szCs w:val="18"/>
          <w:color w:val="auto"/>
        </w:rPr>
        <w:t xml:space="preserve"> No recourse for the payment of the principal of or accrued and unpaid interest on any Note, nor for any claim based thereon or otherwise in respect thereof, and no recourse under or upon any obligation, covenant or agreement of the Company in this Indenture or in any supplemental indenture or in any Note, nor because of the creation of any indebtedness represented thereby, shall be had against any incorporator, stockholder, employee, agent, Officer or director or Subsidiary, as such, past, present or future, of the Company or of any successor corporation, either directly or through the Company or any successor corporation, whether by virtue of any constitution, statute or rule of law, or by the enforcement of any assessment or penalty or otherwise; it being expressly understood that all such liability is hereby expressly waived and released as a condition of, and as a consideration for, the execution of this Indenture and the issue of the Notes.</w:t>
      </w:r>
    </w:p>
    <w:p>
      <w:pPr>
        <w:spacing w:after="0" w:line="11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56</w:t>
      </w:r>
    </w:p>
    <w:p>
      <w:pPr>
        <w:sectPr>
          <w:pgSz w:w="11900" w:h="16838" w:orient="portrait"/>
          <w:cols w:equalWidth="0" w:num="1">
            <w:col w:w="10980"/>
          </w:cols>
          <w:pgMar w:left="440" w:top="270" w:right="479" w:bottom="1440" w:gutter="0" w:footer="0" w:header="0"/>
        </w:sectPr>
      </w:pPr>
    </w:p>
    <w:bookmarkStart w:id="67" w:name="page68"/>
    <w:bookmarkEnd w:id="67"/>
    <w:p>
      <w:pPr>
        <w:jc w:val="center"/>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ARTICLE 13</w:t>
      </w:r>
    </w:p>
    <w:p>
      <w:pPr>
        <w:spacing w:after="0" w:line="2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I</w:t>
      </w:r>
      <w:r>
        <w:rPr>
          <w:rFonts w:ascii="Times New Roman" w:cs="Times New Roman" w:eastAsia="Times New Roman" w:hAnsi="Times New Roman"/>
          <w:sz w:val="14"/>
          <w:szCs w:val="14"/>
          <w:color w:val="auto"/>
        </w:rPr>
        <w:t>NTENTIONALLY</w:t>
      </w:r>
      <w:r>
        <w:rPr>
          <w:rFonts w:ascii="Times New Roman" w:cs="Times New Roman" w:eastAsia="Times New Roman" w:hAnsi="Times New Roman"/>
          <w:sz w:val="18"/>
          <w:szCs w:val="18"/>
          <w:color w:val="auto"/>
        </w:rPr>
        <w:t xml:space="preserve"> O</w:t>
      </w:r>
      <w:r>
        <w:rPr>
          <w:rFonts w:ascii="Times New Roman" w:cs="Times New Roman" w:eastAsia="Times New Roman" w:hAnsi="Times New Roman"/>
          <w:sz w:val="14"/>
          <w:szCs w:val="14"/>
          <w:color w:val="auto"/>
        </w:rPr>
        <w:t>MITTED</w:t>
      </w:r>
    </w:p>
    <w:p>
      <w:pPr>
        <w:spacing w:after="0" w:line="20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ARTICLE 14</w:t>
      </w:r>
    </w:p>
    <w:p>
      <w:pPr>
        <w:spacing w:after="0" w:line="2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C</w:t>
      </w:r>
      <w:r>
        <w:rPr>
          <w:rFonts w:ascii="Times New Roman" w:cs="Times New Roman" w:eastAsia="Times New Roman" w:hAnsi="Times New Roman"/>
          <w:sz w:val="14"/>
          <w:szCs w:val="14"/>
          <w:color w:val="auto"/>
        </w:rPr>
        <w:t>ONVERSION OF</w:t>
      </w:r>
      <w:r>
        <w:rPr>
          <w:rFonts w:ascii="Times New Roman" w:cs="Times New Roman" w:eastAsia="Times New Roman" w:hAnsi="Times New Roman"/>
          <w:sz w:val="18"/>
          <w:szCs w:val="18"/>
          <w:color w:val="auto"/>
        </w:rPr>
        <w:t xml:space="preserve"> N</w:t>
      </w:r>
      <w:r>
        <w:rPr>
          <w:rFonts w:ascii="Times New Roman" w:cs="Times New Roman" w:eastAsia="Times New Roman" w:hAnsi="Times New Roman"/>
          <w:sz w:val="14"/>
          <w:szCs w:val="14"/>
          <w:color w:val="auto"/>
        </w:rPr>
        <w:t>OTES</w:t>
      </w:r>
    </w:p>
    <w:p>
      <w:pPr>
        <w:spacing w:after="0" w:line="205" w:lineRule="exact"/>
        <w:rPr>
          <w:sz w:val="20"/>
          <w:szCs w:val="20"/>
          <w:color w:val="auto"/>
        </w:rPr>
      </w:pPr>
    </w:p>
    <w:p>
      <w:pPr>
        <w:ind w:right="60" w:firstLine="440"/>
        <w:spacing w:after="0" w:line="255" w:lineRule="auto"/>
        <w:rPr>
          <w:sz w:val="20"/>
          <w:szCs w:val="20"/>
          <w:color w:val="auto"/>
        </w:rPr>
      </w:pPr>
      <w:r>
        <w:rPr>
          <w:rFonts w:ascii="Times New Roman" w:cs="Times New Roman" w:eastAsia="Times New Roman" w:hAnsi="Times New Roman"/>
          <w:sz w:val="18"/>
          <w:szCs w:val="18"/>
          <w:color w:val="auto"/>
        </w:rPr>
        <w:t>Section 14.01</w:t>
      </w:r>
      <w:r>
        <w:rPr>
          <w:rFonts w:ascii="Times New Roman" w:cs="Times New Roman" w:eastAsia="Times New Roman" w:hAnsi="Times New Roman"/>
          <w:sz w:val="18"/>
          <w:szCs w:val="18"/>
          <w:i w:val="1"/>
          <w:iCs w:val="1"/>
          <w:color w:val="auto"/>
        </w:rPr>
        <w:t>. Conversion Privilege.</w:t>
      </w:r>
      <w:r>
        <w:rPr>
          <w:rFonts w:ascii="Times New Roman" w:cs="Times New Roman" w:eastAsia="Times New Roman" w:hAnsi="Times New Roman"/>
          <w:sz w:val="18"/>
          <w:szCs w:val="18"/>
          <w:color w:val="auto"/>
        </w:rPr>
        <w:t xml:space="preserve"> (a) Subject to and upon compliance with the provisions of this Article 14, each Holder of a Note shall have the right, at such Holder’s option, to convert all or any portion (if the portion to be converted is $1,000 principal amount or an integral multiple thereof) of such Note (i) subject to satisfaction of the conditions described in Section 14.01(b), at any time prior to the close of business on the Business Day immediately preceding December 15, 2031 under the circumstances and during the periods set forth in Section 14.01(b), and (ii) regardless of the conditions described in Section 14.01(b), on or after December 15, 2031 and prior to the close of business on the second Scheduled Trading Day immediately preceding the Maturity Date, in each case, at an initial conversion rate of 0.4894 shares of Common Stock (subject to adjustment as provided in this Article 14, the “</w:t>
      </w:r>
      <w:r>
        <w:rPr>
          <w:rFonts w:ascii="Times New Roman" w:cs="Times New Roman" w:eastAsia="Times New Roman" w:hAnsi="Times New Roman"/>
          <w:sz w:val="18"/>
          <w:szCs w:val="18"/>
          <w:b w:val="1"/>
          <w:bCs w:val="1"/>
          <w:color w:val="auto"/>
        </w:rPr>
        <w:t>Conversion Rate</w:t>
      </w:r>
      <w:r>
        <w:rPr>
          <w:rFonts w:ascii="Times New Roman" w:cs="Times New Roman" w:eastAsia="Times New Roman" w:hAnsi="Times New Roman"/>
          <w:sz w:val="18"/>
          <w:szCs w:val="18"/>
          <w:color w:val="auto"/>
        </w:rPr>
        <w:t>”) per $1,000 principal amount of Notes (subject to, and in accordance with, the settlement provisions of Section 14.02, the “</w:t>
      </w:r>
      <w:r>
        <w:rPr>
          <w:rFonts w:ascii="Times New Roman" w:cs="Times New Roman" w:eastAsia="Times New Roman" w:hAnsi="Times New Roman"/>
          <w:sz w:val="18"/>
          <w:szCs w:val="18"/>
          <w:b w:val="1"/>
          <w:bCs w:val="1"/>
          <w:color w:val="auto"/>
        </w:rPr>
        <w:t>Conversion Obligation</w:t>
      </w:r>
      <w:r>
        <w:rPr>
          <w:rFonts w:ascii="Times New Roman" w:cs="Times New Roman" w:eastAsia="Times New Roman" w:hAnsi="Times New Roman"/>
          <w:sz w:val="18"/>
          <w:szCs w:val="18"/>
          <w:color w:val="auto"/>
        </w:rPr>
        <w:t>”).</w:t>
      </w:r>
    </w:p>
    <w:p>
      <w:pPr>
        <w:spacing w:after="0" w:line="187" w:lineRule="exact"/>
        <w:rPr>
          <w:sz w:val="20"/>
          <w:szCs w:val="20"/>
          <w:color w:val="auto"/>
        </w:rPr>
      </w:pPr>
    </w:p>
    <w:p>
      <w:pPr>
        <w:ind w:firstLine="436"/>
        <w:spacing w:after="0" w:line="252" w:lineRule="auto"/>
        <w:tabs>
          <w:tab w:leader="none" w:pos="695" w:val="left"/>
        </w:tabs>
        <w:numPr>
          <w:ilvl w:val="0"/>
          <w:numId w:val="4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 Prior to the close of business on the Business Day immediately preceding December 15, 2031, a Holder may surrender all or any portion of its Notes for conversion at any time during the five Business Day period immediately after any five consecutive Trading Day period (the “</w:t>
      </w:r>
      <w:r>
        <w:rPr>
          <w:rFonts w:ascii="Times New Roman" w:cs="Times New Roman" w:eastAsia="Times New Roman" w:hAnsi="Times New Roman"/>
          <w:sz w:val="18"/>
          <w:szCs w:val="18"/>
          <w:b w:val="1"/>
          <w:bCs w:val="1"/>
          <w:color w:val="auto"/>
        </w:rPr>
        <w:t>Measurement</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Period</w:t>
      </w:r>
      <w:r>
        <w:rPr>
          <w:rFonts w:ascii="Times New Roman" w:cs="Times New Roman" w:eastAsia="Times New Roman" w:hAnsi="Times New Roman"/>
          <w:sz w:val="18"/>
          <w:szCs w:val="18"/>
          <w:color w:val="auto"/>
        </w:rPr>
        <w:t>”) in which the Trading Price per $1,000 principal amount of Notes, as determined following a request by a Holder of Notes in accordance with</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this subsection (b)(i), for each Trading Day of the Measurement Period was less than 98% of the product of the Last Reported Sale Price of the Common Stock on each such Trading Day and the Conversion Rate on each such Trading Day. The Trading Prices shall be determined by the Bid Solicitation Agent pursuant to this subsection (b)(i) and the definition of Trading Price set forth in this Indenture. The Company shall provide written notice to the Bid Solicitation Agent (if other than the Company) of the three independent nationally recognized securities dealers selected by the Company pursuant to the definition of Trading Price, along with appropriate contact information for each. The Bid Solicitation Agent (if other than the Company) shall have no obligation to determine the Trading Price per $1,000 principal amount of Notes unless the Company has requested such determination, and the Company shall have no obligation to make such request (or, if the Company is acting as Bid Solicitation Agent, the Company shall have no obligation to determine the Trading Price per $1,000 principal amount of Notes) unless a Holder of at least $1,000,000 aggregate principal amount of Notes requests in writing that the Company make such a determination and provides the Company with reasonable evidence that the Trading Price per $1,000 principal amount of Notes on any Trading Day would be less than 98% of the product of the Last Reported Sale Price of the Common Stock on such Trading Day and the Conversion Rate on such Trading Day, at which time the Company shall instruct the Bid Solicitation Agent</w:t>
      </w:r>
    </w:p>
    <w:p>
      <w:pPr>
        <w:spacing w:after="0" w:line="13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57</w:t>
      </w:r>
    </w:p>
    <w:p>
      <w:pPr>
        <w:sectPr>
          <w:pgSz w:w="11900" w:h="16838" w:orient="portrait"/>
          <w:cols w:equalWidth="0" w:num="1">
            <w:col w:w="11000"/>
          </w:cols>
          <w:pgMar w:left="440" w:top="270" w:right="459" w:bottom="1440" w:gutter="0" w:footer="0" w:header="0"/>
        </w:sectPr>
      </w:pPr>
    </w:p>
    <w:bookmarkStart w:id="68" w:name="page69"/>
    <w:bookmarkEnd w:id="68"/>
    <w:p>
      <w:pPr>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(if other than the Company) to determine, or if the Company is acting as Bid Solicitation Agent, the Company shall determine, the Trading Price per</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$1,000 principal amount of Notes beginning on the next Trading Day and on each successive Trading Day until the Trading Price per $1,000 principal</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amount of Notes is greater than or equal to 98% of the product of the Last Reported Sale Price of the Common Stock and the Conversion Rate. If (x) the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Company is not acting as Bid Solicitation Agent, and the Company does not instruct the Bid Solicitation Agent to determine the Trading Price per</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color w:val="auto"/>
        </w:rPr>
        <w:t>$1,000 principal amount of Notes when obligated as provided in the preceding sentence, or if the Company instructs the Bid Solicitation Agent to obtain</w:t>
      </w:r>
    </w:p>
    <w:p>
      <w:pPr>
        <w:spacing w:after="0" w:line="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bids and the Bid Solicitation Agent fails to make such determination, or (y) the Company is acting as Bid Solicitation Agent and the Company fails to</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make such determination when obligated as provided in the preceding sentence, then, in either case, the Trading Price per $1,000 principal amount of</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Notes shall be deemed to be less than 98% of the product of the Last Reported Sale Price of the Common Stock and the Conversion Rate on each</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Trading Day of such failure. If the Trading Price condition set forth above has been met, the Company shall so notify in writing the Holders, the Trustee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color w:val="auto"/>
        </w:rPr>
        <w:t>and the Conversion Agent (if other than the Trustee). If, at any time after the Trading Price condition set forth above has been met, the Trading Price per</w:t>
      </w:r>
    </w:p>
    <w:p>
      <w:pPr>
        <w:spacing w:after="0" w:line="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$1,000 principal amount of Notes is greater than or equal to 98% of the product of the Last Reported Sale Price of the Common Stock and the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Conversion Rate for such date, the Company shall so notify in writing the Holders of the Notes, the Trustee and the Conversion Agent (if other than the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Trustee).</w:t>
      </w:r>
    </w:p>
    <w:p>
      <w:pPr>
        <w:spacing w:after="0" w:line="99" w:lineRule="exact"/>
        <w:rPr>
          <w:sz w:val="20"/>
          <w:szCs w:val="20"/>
          <w:color w:val="auto"/>
        </w:rPr>
      </w:pPr>
    </w:p>
    <w:p>
      <w:pPr>
        <w:ind w:left="1120" w:hanging="261"/>
        <w:spacing w:after="0"/>
        <w:tabs>
          <w:tab w:leader="none" w:pos="1120" w:val="left"/>
        </w:tabs>
        <w:numPr>
          <w:ilvl w:val="0"/>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prior to the close of business on the Business Day immediately preceding December 15, 2031, the Company elects to:</w:t>
      </w:r>
    </w:p>
    <w:p>
      <w:pPr>
        <w:spacing w:after="0" w:line="117" w:lineRule="exact"/>
        <w:rPr>
          <w:rFonts w:ascii="Times New Roman" w:cs="Times New Roman" w:eastAsia="Times New Roman" w:hAnsi="Times New Roman"/>
          <w:sz w:val="18"/>
          <w:szCs w:val="18"/>
          <w:color w:val="auto"/>
        </w:rPr>
      </w:pPr>
    </w:p>
    <w:p>
      <w:pPr>
        <w:ind w:left="980" w:right="120" w:firstLine="408"/>
        <w:spacing w:after="0" w:line="258" w:lineRule="auto"/>
        <w:tabs>
          <w:tab w:leader="none" w:pos="1676" w:val="left"/>
        </w:tabs>
        <w:numPr>
          <w:ilvl w:val="1"/>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issue to all or substantially all holders of the Common Stock any rights, options or warrants (other than in connection with a stockholder rights plan so long as such rights have no separated from the shares of the Common Stock) entitling them, for a period of not more than 45 calendar days after the announcement date of such issuance, to subscribe for or purchase shares of the Common Stock at a price per share that is less than the average of the Last Reported Sale Prices of the Common Stock for the 10 consecutive Trading Day period ending on, and including, the Trading Day immediately preceding the date of announcement of such issuance; or</w:t>
      </w:r>
    </w:p>
    <w:p>
      <w:pPr>
        <w:spacing w:after="0" w:line="75" w:lineRule="exact"/>
        <w:rPr>
          <w:rFonts w:ascii="Times New Roman" w:cs="Times New Roman" w:eastAsia="Times New Roman" w:hAnsi="Times New Roman"/>
          <w:sz w:val="18"/>
          <w:szCs w:val="18"/>
          <w:color w:val="auto"/>
        </w:rPr>
      </w:pPr>
    </w:p>
    <w:p>
      <w:pPr>
        <w:jc w:val="both"/>
        <w:ind w:left="980" w:right="20" w:firstLine="408"/>
        <w:spacing w:after="0" w:line="261" w:lineRule="auto"/>
        <w:tabs>
          <w:tab w:leader="none" w:pos="1666" w:val="left"/>
        </w:tabs>
        <w:numPr>
          <w:ilvl w:val="1"/>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distribute to all or substantially all holders of the Common Stock the Company’s assets, securities or rights to purchase securities of the Company (other than pursuant to a stockholder rights plan so long as such rights have not separated from the shares of the Common Stock), which distribution has a per share value, as reasonably determined by the Board of Directors, exceeding 10% of the Last Reported Sale Price of the Common Stock on the Trading Day preceding the date of announcement for such distribution,</w:t>
      </w:r>
    </w:p>
    <w:p>
      <w:pPr>
        <w:spacing w:after="0" w:line="112"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58</w:t>
      </w:r>
    </w:p>
    <w:p>
      <w:pPr>
        <w:sectPr>
          <w:pgSz w:w="11900" w:h="16838" w:orient="portrait"/>
          <w:cols w:equalWidth="0" w:num="1">
            <w:col w:w="10980"/>
          </w:cols>
          <w:pgMar w:left="440" w:top="270" w:right="479" w:bottom="1440" w:gutter="0" w:footer="0" w:header="0"/>
        </w:sectPr>
      </w:pPr>
    </w:p>
    <w:bookmarkStart w:id="69" w:name="page70"/>
    <w:bookmarkEnd w:id="69"/>
    <w:p>
      <w:pPr>
        <w:ind w:right="20"/>
        <w:spacing w:after="0" w:line="25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then, in either case, the Company shall notify in writing all Holders of the Notes, the Trustee and the Conversion Agent (if other than the Trustee) at least 30 Scheduled Trading Days prior to the Ex-Dividend Date for such issuance or distribution;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if the Company elects Physical Settlement (to the extent that the Company has not elected another Settlement Method to apply, including pursuant to Section 14.02) in the applicable notice in respect of any conversions that occurs from, and including, the date the Company provides such notice to, and including, the close of business on the Business Day immediately preceding the Ex-Dividend Date for such distribution or issuance (or, if earlier, the date the Company announces that such issuance or distribution will not take place) (the “</w:t>
      </w:r>
      <w:r>
        <w:rPr>
          <w:rFonts w:ascii="Times New Roman" w:cs="Times New Roman" w:eastAsia="Times New Roman" w:hAnsi="Times New Roman"/>
          <w:sz w:val="18"/>
          <w:szCs w:val="18"/>
          <w:b w:val="1"/>
          <w:bCs w:val="1"/>
          <w:color w:val="auto"/>
        </w:rPr>
        <w:t>Distribution Trigger Irrevocable Physical Settlement Period</w:t>
      </w:r>
      <w:r>
        <w:rPr>
          <w:rFonts w:ascii="Times New Roman" w:cs="Times New Roman" w:eastAsia="Times New Roman" w:hAnsi="Times New Roman"/>
          <w:sz w:val="18"/>
          <w:szCs w:val="18"/>
          <w:color w:val="auto"/>
        </w:rPr>
        <w:t xml:space="preserve">”), the Company shall be permitted to provide no less than 10 Scheduled Trading Days’ notice prior to the Ex-Dividend Date for the applicable issuance or distribution, in which case the Company shall be required to settle all conversions of Notes with a Conversion Date occurring during the Distribution Trigger Irrevocable Physical Settlement Period by Physical Settlement, and the Company shall describe the same in such notice. Once the Company has given such notice, a Holder may surrender all or any portion of its Notes for conversion at any time until the earlier of (1) the close of business on the Business Day immediately preceding the Ex-Dividend Date for such issuance or distribution and (2) the Company’s announcement that such issuance or distribution will not take place, in each case, even if the Notes are not otherwise convertible at such time. Notwithstanding the foregoing, Holders may not convert their Notes under this Section 14.01(b)(ii) if they participate (other than in the case of a share split or share combination) at the same time and upon the same terms as holders of the Common Stock and solely as a result of holding the Notes, in any of the transactions described under this Section 14.01(b) (ii)(A) or (B) without having to convert their Notes as if they held a number of shares of Common Stock equal to the then-effective Conversion Rate </w:t>
      </w:r>
      <w:r>
        <w:rPr>
          <w:rFonts w:ascii="Times New Roman" w:cs="Times New Roman" w:eastAsia="Times New Roman" w:hAnsi="Times New Roman"/>
          <w:sz w:val="18"/>
          <w:szCs w:val="18"/>
          <w:i w:val="1"/>
          <w:iCs w:val="1"/>
          <w:color w:val="auto"/>
        </w:rPr>
        <w:t xml:space="preserve">multiplied </w:t>
      </w:r>
      <w:r>
        <w:rPr>
          <w:rFonts w:ascii="Times New Roman" w:cs="Times New Roman" w:eastAsia="Times New Roman" w:hAnsi="Times New Roman"/>
          <w:sz w:val="18"/>
          <w:szCs w:val="18"/>
          <w:color w:val="auto"/>
        </w:rPr>
        <w:t>by the principal amount (expressed in thousands) of Notes held by such Holder.</w:t>
      </w:r>
    </w:p>
    <w:p>
      <w:pPr>
        <w:spacing w:after="0" w:line="87" w:lineRule="exact"/>
        <w:rPr>
          <w:sz w:val="20"/>
          <w:szCs w:val="20"/>
          <w:color w:val="auto"/>
        </w:rPr>
      </w:pPr>
    </w:p>
    <w:p>
      <w:pPr>
        <w:ind w:left="440" w:firstLine="419"/>
        <w:spacing w:after="0" w:line="253" w:lineRule="auto"/>
        <w:tabs>
          <w:tab w:leader="none" w:pos="1178" w:val="left"/>
        </w:tabs>
        <w:numPr>
          <w:ilvl w:val="1"/>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a transaction or event that constitutes a Fundamental Change or a Make-Whole Fundamental Change occurs prior to the close of business on the Business Day immediately preceding December 15, 2031, regardless of whether a Holder has the right to require the Company to repurchase the Notes pursuant to Section 15.02, or if the Company is a party to a Share Exchange Event (other than a Share Exchange Event that is solely for the purpose of changing the Company’s jurisdiction of organization that does not constitute a Fundamental Change or Make-Whole Fundamental Change) that occurs prior to the close of business on the Business Day immediately preceding December 15, 2031, in each case, pursuant to which the Common Stock would be converted into cash, securities or other assets, all or any portion of a Holder’s Notes may be surrendered for conversion at any time from or after the effective date of the transaction until the earlier of (x) 35 Trading Days after the effective date of such transaction or, if such transaction also constitutes a Fundamental Change, until the close of business on the Business Day immediately preceding the related Fundamental Change Repurchase Date and (y) the second Scheduled Trading Day immediately preceding the Maturity Date. The Company shall notify in writing Holders, the Trustee and the Conversion Agent (if other than the Trustee) no later than the effective date of such transaction.</w:t>
      </w:r>
    </w:p>
    <w:p>
      <w:pPr>
        <w:spacing w:after="0" w:line="83" w:lineRule="exact"/>
        <w:rPr>
          <w:rFonts w:ascii="Times New Roman" w:cs="Times New Roman" w:eastAsia="Times New Roman" w:hAnsi="Times New Roman"/>
          <w:sz w:val="18"/>
          <w:szCs w:val="18"/>
          <w:color w:val="auto"/>
        </w:rPr>
      </w:pPr>
    </w:p>
    <w:p>
      <w:pPr>
        <w:ind w:left="440" w:firstLine="419"/>
        <w:spacing w:after="0" w:line="268" w:lineRule="auto"/>
        <w:tabs>
          <w:tab w:leader="none" w:pos="1168" w:val="left"/>
        </w:tabs>
        <w:numPr>
          <w:ilvl w:val="1"/>
          <w:numId w:val="43"/>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Prior to the close of business on the Business Day immediately preceding December 15, 2031, a Holder may surrender all or any portion of its Notes for conversion at any time during any calendar quarter commencing after the calendar quarter ending on September 30, 2024 (and only during such calendar quarter), if the Last Reported Sale Price of the Common Stock for at least 20 Trading Days (whether or not consecutive) during the period of 30 consecutive Trading Days ending on, and including, the last Trading Day of the immediately preceding calendar quarter is greater than or equal to 130% of the Conversion Price on each applicable Trading Day. The Company shall determine at the beginning of each calendar quarter commencing after September 30, 2024 whether the Notes may be surrendered for conversion in accordance with this clause</w:t>
      </w:r>
    </w:p>
    <w:p>
      <w:pPr>
        <w:spacing w:after="0" w:line="4" w:lineRule="exact"/>
        <w:rPr>
          <w:rFonts w:ascii="Times New Roman" w:cs="Times New Roman" w:eastAsia="Times New Roman" w:hAnsi="Times New Roman"/>
          <w:sz w:val="17"/>
          <w:szCs w:val="17"/>
          <w:color w:val="auto"/>
        </w:rPr>
      </w:pPr>
    </w:p>
    <w:p>
      <w:pPr>
        <w:ind w:left="440" w:right="720" w:hanging="4"/>
        <w:spacing w:after="0" w:line="260" w:lineRule="auto"/>
        <w:tabs>
          <w:tab w:leader="none" w:pos="745" w:val="left"/>
        </w:tabs>
        <w:numPr>
          <w:ilvl w:val="0"/>
          <w:numId w:val="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and shall provide written notice to the Holders, the Trustee and the Conversion Agent (if other than the Trustee) if the Notes become convertible in accordance with this clause (iv).</w:t>
      </w:r>
    </w:p>
    <w:p>
      <w:pPr>
        <w:spacing w:after="0" w:line="11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59</w:t>
      </w:r>
    </w:p>
    <w:p>
      <w:pPr>
        <w:sectPr>
          <w:pgSz w:w="11900" w:h="16838" w:orient="portrait"/>
          <w:cols w:equalWidth="0" w:num="1">
            <w:col w:w="11000"/>
          </w:cols>
          <w:pgMar w:left="440" w:top="270" w:right="459" w:bottom="1440" w:gutter="0" w:footer="0" w:header="0"/>
        </w:sectPr>
      </w:pPr>
    </w:p>
    <w:bookmarkStart w:id="70" w:name="page71"/>
    <w:bookmarkEnd w:id="70"/>
    <w:p>
      <w:pPr>
        <w:ind w:left="400" w:firstLine="419"/>
        <w:spacing w:after="0" w:line="256" w:lineRule="auto"/>
        <w:tabs>
          <w:tab w:leader="none" w:pos="1078" w:val="left"/>
        </w:tabs>
        <w:numPr>
          <w:ilvl w:val="0"/>
          <w:numId w:val="4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If the Company calls any or all of the Notes for redemption pursuant to Article 16 prior to the close of business on the Business Day immediately preceding December 15, 2031, then a Holder may surrender all or any part of such of its Notes as called for redemption for conversion at any time prior to the close of business on the second Scheduled Trading Day prior to the Redemption Date, even if the Notes are not otherwise convertible at such time. After that time, the right to convert such Notes pursuant to this Section 14.01(b)(v) shall expire, unless the Company defaults in the payment of the Redemption Price, in which case a Holder of Notes may convert its Notes until the Redemption Price has been paid or duly provided for.</w:t>
      </w:r>
    </w:p>
    <w:p>
      <w:pPr>
        <w:spacing w:after="0" w:line="185" w:lineRule="exact"/>
        <w:rPr>
          <w:sz w:val="20"/>
          <w:szCs w:val="20"/>
          <w:color w:val="auto"/>
        </w:rPr>
      </w:pPr>
    </w:p>
    <w:p>
      <w:pPr>
        <w:ind w:left="400"/>
        <w:spacing w:after="0"/>
        <w:rPr>
          <w:sz w:val="20"/>
          <w:szCs w:val="20"/>
          <w:color w:val="auto"/>
        </w:rPr>
      </w:pPr>
      <w:r>
        <w:rPr>
          <w:rFonts w:ascii="Times New Roman" w:cs="Times New Roman" w:eastAsia="Times New Roman" w:hAnsi="Times New Roman"/>
          <w:sz w:val="18"/>
          <w:szCs w:val="18"/>
          <w:color w:val="auto"/>
        </w:rPr>
        <w:t>Section 14.02</w:t>
      </w:r>
      <w:r>
        <w:rPr>
          <w:rFonts w:ascii="Times New Roman" w:cs="Times New Roman" w:eastAsia="Times New Roman" w:hAnsi="Times New Roman"/>
          <w:sz w:val="18"/>
          <w:szCs w:val="18"/>
          <w:i w:val="1"/>
          <w:iCs w:val="1"/>
          <w:color w:val="auto"/>
        </w:rPr>
        <w:t>. Conversion Procedure; Settlement Upon Conversion.</w:t>
      </w:r>
    </w:p>
    <w:p>
      <w:pPr>
        <w:spacing w:after="0" w:line="227" w:lineRule="exact"/>
        <w:rPr>
          <w:sz w:val="20"/>
          <w:szCs w:val="20"/>
          <w:color w:val="auto"/>
        </w:rPr>
      </w:pPr>
    </w:p>
    <w:p>
      <w:pPr>
        <w:ind w:left="-40" w:right="40" w:firstLine="987"/>
        <w:spacing w:after="0" w:line="256" w:lineRule="auto"/>
        <w:tabs>
          <w:tab w:leader="none" w:pos="1196" w:val="left"/>
        </w:tabs>
        <w:numPr>
          <w:ilvl w:val="1"/>
          <w:numId w:val="4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Subject to this Section 14.02, Section 14.03(b) and Section 14.07(a), upon conversion of any Note, the Company shall pay or deliver, as the case may be, to the converting Holder, in respect of each $1,000 principal amount of Notes being converted, cash (“</w:t>
      </w:r>
      <w:r>
        <w:rPr>
          <w:rFonts w:ascii="Times New Roman" w:cs="Times New Roman" w:eastAsia="Times New Roman" w:hAnsi="Times New Roman"/>
          <w:sz w:val="18"/>
          <w:szCs w:val="18"/>
          <w:b w:val="1"/>
          <w:bCs w:val="1"/>
          <w:color w:val="auto"/>
        </w:rPr>
        <w:t>Cash Settlement</w:t>
      </w:r>
      <w:r>
        <w:rPr>
          <w:rFonts w:ascii="Times New Roman" w:cs="Times New Roman" w:eastAsia="Times New Roman" w:hAnsi="Times New Roman"/>
          <w:sz w:val="18"/>
          <w:szCs w:val="18"/>
          <w:color w:val="auto"/>
        </w:rPr>
        <w:t>”), shares of Common Stock, together with cash, if applicable, in lieu of delivering any fractional share of Common Stock in accordance with subsection (j) of this Section 14.02 (“</w:t>
      </w:r>
      <w:r>
        <w:rPr>
          <w:rFonts w:ascii="Times New Roman" w:cs="Times New Roman" w:eastAsia="Times New Roman" w:hAnsi="Times New Roman"/>
          <w:sz w:val="18"/>
          <w:szCs w:val="18"/>
          <w:b w:val="1"/>
          <w:bCs w:val="1"/>
          <w:color w:val="auto"/>
        </w:rPr>
        <w:t>Physical Settlement</w:t>
      </w:r>
      <w:r>
        <w:rPr>
          <w:rFonts w:ascii="Times New Roman" w:cs="Times New Roman" w:eastAsia="Times New Roman" w:hAnsi="Times New Roman"/>
          <w:sz w:val="18"/>
          <w:szCs w:val="18"/>
          <w:color w:val="auto"/>
        </w:rPr>
        <w:t>”) or a combination of cash and shares of Common Stock, together with cash, if applicable, in lieu of delivering any fractional share of Common Stock in accordance with subsection (j) of this Section 14.02 (“</w:t>
      </w:r>
      <w:r>
        <w:rPr>
          <w:rFonts w:ascii="Times New Roman" w:cs="Times New Roman" w:eastAsia="Times New Roman" w:hAnsi="Times New Roman"/>
          <w:sz w:val="18"/>
          <w:szCs w:val="18"/>
          <w:b w:val="1"/>
          <w:bCs w:val="1"/>
          <w:color w:val="auto"/>
        </w:rPr>
        <w:t>Combination Settlement</w:t>
      </w:r>
      <w:r>
        <w:rPr>
          <w:rFonts w:ascii="Times New Roman" w:cs="Times New Roman" w:eastAsia="Times New Roman" w:hAnsi="Times New Roman"/>
          <w:sz w:val="18"/>
          <w:szCs w:val="18"/>
          <w:color w:val="auto"/>
        </w:rPr>
        <w:t>”), at its election, as set forth in this Section 14.02.</w:t>
      </w:r>
    </w:p>
    <w:p>
      <w:pPr>
        <w:spacing w:after="0" w:line="79" w:lineRule="exact"/>
        <w:rPr>
          <w:rFonts w:ascii="Times New Roman" w:cs="Times New Roman" w:eastAsia="Times New Roman" w:hAnsi="Times New Roman"/>
          <w:sz w:val="18"/>
          <w:szCs w:val="18"/>
          <w:color w:val="auto"/>
        </w:rPr>
      </w:pPr>
    </w:p>
    <w:p>
      <w:pPr>
        <w:ind w:left="400" w:right="60" w:firstLine="419"/>
        <w:spacing w:after="0" w:line="261" w:lineRule="auto"/>
        <w:tabs>
          <w:tab w:leader="none" w:pos="1038" w:val="left"/>
        </w:tabs>
        <w:numPr>
          <w:ilvl w:val="0"/>
          <w:numId w:val="4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All conversions (x) for which the relevant Conversion Date occurs after the Company’s issuance of a Redemption Notice with respect to the Notes and prior to the close of business on the second Scheduled Trading Day immediately preceding the related Redemption Date (y) for which the relevant Conversion Date occurs on or after December 15, 2031 and (z) following the Company’s irrevocable election of a Settlement Method pursuant to Section 14.02(a)(iii)(B), in each case shall be settled using the same Settlement Method.</w:t>
      </w:r>
    </w:p>
    <w:p>
      <w:pPr>
        <w:spacing w:after="0" w:line="71" w:lineRule="exact"/>
        <w:rPr>
          <w:rFonts w:ascii="Times New Roman" w:cs="Times New Roman" w:eastAsia="Times New Roman" w:hAnsi="Times New Roman"/>
          <w:sz w:val="18"/>
          <w:szCs w:val="18"/>
          <w:color w:val="auto"/>
        </w:rPr>
      </w:pPr>
    </w:p>
    <w:p>
      <w:pPr>
        <w:ind w:left="400" w:right="60" w:firstLine="419"/>
        <w:spacing w:after="0" w:line="255" w:lineRule="auto"/>
        <w:tabs>
          <w:tab w:leader="none" w:pos="1088" w:val="left"/>
        </w:tabs>
        <w:numPr>
          <w:ilvl w:val="0"/>
          <w:numId w:val="4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Except (w) for any conversions for which the relevant Conversion Date occurs after the Company’s issuance of a Redemption Notice with respect to the Notes but prior to the close of business on the second Scheduled Trading Day immediately preceding the related Redemption Date, (x) for any conversions for which the relevant Conversion Date occurs on or after December 15, 2031, (y) to the extent the Company elects Physical Settlement to apply pursuant to Section 14.01(b)(ii) and (z) for any conversions following the Company’s irrevocable election of a Settlement Method pursuant to Section 14.02(a)(iii)(B), in each case the Company shall use the same Settlement Method for all conversions with the same Conversion Date, but the Company shall not have any obligation to use the same Settlement Method with respect to conversions with different Conversion Dates.</w:t>
      </w:r>
    </w:p>
    <w:p>
      <w:pPr>
        <w:spacing w:after="0" w:line="12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60</w:t>
      </w:r>
    </w:p>
    <w:p>
      <w:pPr>
        <w:sectPr>
          <w:pgSz w:w="11900" w:h="16838" w:orient="portrait"/>
          <w:cols w:equalWidth="0" w:num="1">
            <w:col w:w="10920"/>
          </w:cols>
          <w:pgMar w:left="480" w:top="270" w:right="499" w:bottom="1440" w:gutter="0" w:footer="0" w:header="0"/>
        </w:sectPr>
      </w:pPr>
    </w:p>
    <w:bookmarkStart w:id="71" w:name="page72"/>
    <w:bookmarkEnd w:id="71"/>
    <w:p>
      <w:pPr>
        <w:ind w:right="40" w:firstLine="419"/>
        <w:spacing w:after="0" w:line="252" w:lineRule="auto"/>
        <w:tabs>
          <w:tab w:leader="none" w:pos="738" w:val="left"/>
        </w:tabs>
        <w:numPr>
          <w:ilvl w:val="0"/>
          <w:numId w:val="4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 Subject to the Company’s irrevocable election of a Settlement Method pursuant to Section 14.02(a)(iii)(B), if, in respect of any Conversion Date (or one of the periods described in the third immediately succeeding set of parentheses, as the case may be), the Company elects to deliver a notice (the “</w:t>
      </w:r>
      <w:r>
        <w:rPr>
          <w:rFonts w:ascii="Times New Roman" w:cs="Times New Roman" w:eastAsia="Times New Roman" w:hAnsi="Times New Roman"/>
          <w:sz w:val="18"/>
          <w:szCs w:val="18"/>
          <w:b w:val="1"/>
          <w:bCs w:val="1"/>
          <w:color w:val="auto"/>
        </w:rPr>
        <w:t>Settlement Notice</w:t>
      </w:r>
      <w:r>
        <w:rPr>
          <w:rFonts w:ascii="Times New Roman" w:cs="Times New Roman" w:eastAsia="Times New Roman" w:hAnsi="Times New Roman"/>
          <w:sz w:val="18"/>
          <w:szCs w:val="18"/>
          <w:color w:val="auto"/>
        </w:rPr>
        <w:t>”) of the relevant Settlement Method in respect of such Conversion Date (or such period, as the case may be), the Company, through the Conversion Agent (acting upon the written direction of the Company), shall deliver such Settlement Notice to the Trustee and the converting Holders no later than the close of business on the Trading Day immediately following the relevant Conversion Date (or, in the case of any conversions of any Notes (x) for which the relevant Conversion Date occurs (A) on or after the date of issuance of a Redemption Notice with respect to the Notes and prior to the close of business on the second Scheduled Trading Day immediately preceding the related Redemption Date, in such Redemption Notice or (B) on or after December 15, 2031, no later than the close of business on the Business Day immediately preceding December 15, 2031 or (y) for which the Company has irrevocably elected Physical Settlement pursuant to Section 14.01(b)(ii), in the related notice described therein). If the Company does not elect a Settlement Method prior to the deadline set forth in the immediately preceding sentence, the Company shall no longer have the right to elect Cash Settlement or Physical Settlement with respect to the relevant Conversion Date (or such period, as the case may be) and the Company shall be deemed to have elected Combination Settlement in respect of its Conversion Obligation, and the Specified Dollar Amount per $1,000 principal amount of Notes shall be equal to $1,000. Such Settlement Notice shall specify the relevant Settlement Method and in the case of an election of Combination Settlement, the relevant Settlement Notice shall indicate the Specified Dollar Amount per $1,000 principal amount of Notes. If the Company delivers a Settlement Notice electing Combination Settlement in respect of its Conversion Obligation but does not indicate a Specified Dollar Amount per $1,000 principal amount of Notes in such Settlement Notice, the Specified Dollar Amount per $1,000 principal amount of Notes shall be deemed to be $1,000.</w:t>
      </w:r>
    </w:p>
    <w:p>
      <w:pPr>
        <w:spacing w:after="0" w:line="85" w:lineRule="exact"/>
        <w:rPr>
          <w:rFonts w:ascii="Times New Roman" w:cs="Times New Roman" w:eastAsia="Times New Roman" w:hAnsi="Times New Roman"/>
          <w:sz w:val="18"/>
          <w:szCs w:val="18"/>
          <w:color w:val="auto"/>
        </w:rPr>
      </w:pPr>
    </w:p>
    <w:p>
      <w:pPr>
        <w:ind w:left="540" w:firstLine="408"/>
        <w:spacing w:after="0" w:line="255" w:lineRule="auto"/>
        <w:tabs>
          <w:tab w:leader="none" w:pos="1226" w:val="left"/>
        </w:tabs>
        <w:numPr>
          <w:ilvl w:val="1"/>
          <w:numId w:val="4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By notice to the Holders, the Trustee and the Conversion Agent (if other than the Trustee), the Company may prior to the close of business on the Scheduled Trading Day immediately preceding December 15, 2031, at its option, irrevocably elect to satisfy its Conversion Obligation with respect to the Notes through Combination Settlement with a Specified Dollar Amount per $1,000 principal amount of Notes of at least $1,000 for all Conversion Dates occurring subsequent to the delivery of such notice and for which another Settlement Method does not otherwise apply. If the Company irrevocably elects Combination Settlement with an ability to continue to set the Specified Dollar Amount per $1,000 principal amount of Notes at or above a specific amount, the Company shall, after the date of such election, either post the fixed Settlement Method on the Company’s website or disclose the same in a current report on</w:t>
      </w:r>
    </w:p>
    <w:p>
      <w:pPr>
        <w:spacing w:after="0" w:line="121" w:lineRule="exact"/>
        <w:rPr>
          <w:sz w:val="20"/>
          <w:szCs w:val="20"/>
          <w:color w:val="auto"/>
        </w:rPr>
      </w:pPr>
    </w:p>
    <w:p>
      <w:pPr>
        <w:jc w:val="center"/>
        <w:ind w:right="440"/>
        <w:spacing w:after="0"/>
        <w:rPr>
          <w:sz w:val="20"/>
          <w:szCs w:val="20"/>
          <w:color w:val="auto"/>
        </w:rPr>
      </w:pPr>
      <w:r>
        <w:rPr>
          <w:rFonts w:ascii="Times New Roman" w:cs="Times New Roman" w:eastAsia="Times New Roman" w:hAnsi="Times New Roman"/>
          <w:sz w:val="18"/>
          <w:szCs w:val="18"/>
          <w:color w:val="auto"/>
        </w:rPr>
        <w:t>61</w:t>
      </w:r>
    </w:p>
    <w:p>
      <w:pPr>
        <w:sectPr>
          <w:pgSz w:w="11900" w:h="16838" w:orient="portrait"/>
          <w:cols w:equalWidth="0" w:num="1">
            <w:col w:w="10580"/>
          </w:cols>
          <w:pgMar w:left="880" w:top="270" w:right="439" w:bottom="1440" w:gutter="0" w:footer="0" w:header="0"/>
        </w:sectPr>
      </w:pPr>
    </w:p>
    <w:bookmarkStart w:id="72" w:name="page73"/>
    <w:bookmarkEnd w:id="72"/>
    <w:p>
      <w:pPr>
        <w:ind w:left="540" w:right="2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Form 8-K (or any successor form) that is filed with the Commission (and make such determination of such Specified Dollar Amount on or prior to the dates set forth above in respect of a Combination Settlement as if an irrevocable election had not otherwise occurred, or if the Company does not make such determination by such date the Specified Dollar Amount shall be $1,000 per $1,000 principal amount of Notes).</w:t>
      </w:r>
    </w:p>
    <w:p>
      <w:pPr>
        <w:spacing w:after="0" w:line="72" w:lineRule="exact"/>
        <w:rPr>
          <w:sz w:val="20"/>
          <w:szCs w:val="20"/>
          <w:color w:val="auto"/>
        </w:rPr>
      </w:pPr>
    </w:p>
    <w:p>
      <w:pPr>
        <w:ind w:right="340" w:firstLine="419"/>
        <w:spacing w:after="0" w:line="282" w:lineRule="auto"/>
        <w:tabs>
          <w:tab w:leader="none" w:pos="728" w:val="left"/>
        </w:tabs>
        <w:numPr>
          <w:ilvl w:val="0"/>
          <w:numId w:val="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cash, shares of Common Stock or combination of cash and shares of Common Stock payable or deliverable by the Company in respect of any conversion of Notes (the “</w:t>
      </w:r>
      <w:r>
        <w:rPr>
          <w:rFonts w:ascii="Times New Roman" w:cs="Times New Roman" w:eastAsia="Times New Roman" w:hAnsi="Times New Roman"/>
          <w:sz w:val="18"/>
          <w:szCs w:val="18"/>
          <w:b w:val="1"/>
          <w:bCs w:val="1"/>
          <w:color w:val="auto"/>
        </w:rPr>
        <w:t>Settlement Amount</w:t>
      </w:r>
      <w:r>
        <w:rPr>
          <w:rFonts w:ascii="Times New Roman" w:cs="Times New Roman" w:eastAsia="Times New Roman" w:hAnsi="Times New Roman"/>
          <w:sz w:val="18"/>
          <w:szCs w:val="18"/>
          <w:color w:val="auto"/>
        </w:rPr>
        <w:t>”) shall be computed as follows:</w:t>
      </w:r>
    </w:p>
    <w:p>
      <w:pPr>
        <w:spacing w:after="0" w:line="53" w:lineRule="exact"/>
        <w:rPr>
          <w:rFonts w:ascii="Times New Roman" w:cs="Times New Roman" w:eastAsia="Times New Roman" w:hAnsi="Times New Roman"/>
          <w:sz w:val="18"/>
          <w:szCs w:val="18"/>
          <w:color w:val="auto"/>
        </w:rPr>
      </w:pPr>
    </w:p>
    <w:p>
      <w:pPr>
        <w:ind w:left="540" w:firstLine="408"/>
        <w:spacing w:after="0" w:line="261" w:lineRule="auto"/>
        <w:tabs>
          <w:tab w:leader="none" w:pos="1236" w:val="left"/>
        </w:tabs>
        <w:numPr>
          <w:ilvl w:val="1"/>
          <w:numId w:val="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Company elects to satisfy its Conversion Obligation in respect of such conversion by Physical Settlement, the Company shall deliver to the converting Holder in respect of each $1,000 principal amount of Notes being converted a number of shares of Common Stock equal to the Conversion Rate in effect on the Conversion Date (plus cash in lieu of any fractional share of Common Stock issuable upon conversion pursuant to Section 14.02(j));</w:t>
      </w:r>
    </w:p>
    <w:p>
      <w:pPr>
        <w:spacing w:after="0" w:line="71" w:lineRule="exact"/>
        <w:rPr>
          <w:rFonts w:ascii="Times New Roman" w:cs="Times New Roman" w:eastAsia="Times New Roman" w:hAnsi="Times New Roman"/>
          <w:sz w:val="18"/>
          <w:szCs w:val="18"/>
          <w:color w:val="auto"/>
        </w:rPr>
      </w:pPr>
    </w:p>
    <w:p>
      <w:pPr>
        <w:ind w:left="540" w:right="100" w:firstLine="408"/>
        <w:spacing w:after="0" w:line="266" w:lineRule="auto"/>
        <w:tabs>
          <w:tab w:leader="none" w:pos="1226" w:val="left"/>
        </w:tabs>
        <w:numPr>
          <w:ilvl w:val="1"/>
          <w:numId w:val="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Company elects to satisfy its Conversion Obligation in respect of such conversion by Cash Settlement, the Company shall pay to the converting Holder in respect of each $1,000 principal amount of Notes being converted cash in an amount equal to the sum of the Daily Conversion Values for each of the 20 consecutive Trading Days during the related Observation Period; and</w:t>
      </w:r>
    </w:p>
    <w:p>
      <w:pPr>
        <w:spacing w:after="0" w:line="67" w:lineRule="exact"/>
        <w:rPr>
          <w:rFonts w:ascii="Times New Roman" w:cs="Times New Roman" w:eastAsia="Times New Roman" w:hAnsi="Times New Roman"/>
          <w:sz w:val="18"/>
          <w:szCs w:val="18"/>
          <w:color w:val="auto"/>
        </w:rPr>
      </w:pPr>
    </w:p>
    <w:p>
      <w:pPr>
        <w:ind w:left="540" w:firstLine="408"/>
        <w:spacing w:after="0" w:line="255" w:lineRule="auto"/>
        <w:tabs>
          <w:tab w:leader="none" w:pos="1226" w:val="left"/>
        </w:tabs>
        <w:numPr>
          <w:ilvl w:val="1"/>
          <w:numId w:val="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Company elects (or is deemed to have elected) to satisfy its Conversion Obligation in respect of such conversion by Combination Settlement, the Company shall pay or deliver, as the case may be, in respect of each $1,000 principal amount of Notes being converted, a Settlement Amount equal to the sum of the Daily Settlement Amounts for each of the 20 consecutive Trading Days during the related Observation Period (plus cash in lieu of any fractional share of Common Stock issuable upon conversion pursuant to</w:t>
      </w:r>
    </w:p>
    <w:p>
      <w:pPr>
        <w:spacing w:after="0" w:line="2" w:lineRule="exact"/>
        <w:rPr>
          <w:rFonts w:ascii="Times New Roman" w:cs="Times New Roman" w:eastAsia="Times New Roman" w:hAnsi="Times New Roman"/>
          <w:sz w:val="18"/>
          <w:szCs w:val="18"/>
          <w:color w:val="auto"/>
        </w:rPr>
      </w:pPr>
    </w:p>
    <w:p>
      <w:pPr>
        <w:ind w:left="540"/>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Section 14.02(j)).</w:t>
      </w:r>
    </w:p>
    <w:p>
      <w:pPr>
        <w:spacing w:after="0" w:line="98" w:lineRule="exact"/>
        <w:rPr>
          <w:rFonts w:ascii="Times New Roman" w:cs="Times New Roman" w:eastAsia="Times New Roman" w:hAnsi="Times New Roman"/>
          <w:sz w:val="18"/>
          <w:szCs w:val="18"/>
          <w:color w:val="auto"/>
        </w:rPr>
      </w:pPr>
    </w:p>
    <w:p>
      <w:pPr>
        <w:ind w:right="40" w:firstLine="419"/>
        <w:spacing w:after="0" w:line="256" w:lineRule="auto"/>
        <w:tabs>
          <w:tab w:leader="none" w:pos="678" w:val="left"/>
        </w:tabs>
        <w:numPr>
          <w:ilvl w:val="0"/>
          <w:numId w:val="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Daily Settlement Amounts (if applicable) and the Daily Conversion Values (if applicable) shall be determined by the Company promptly following the last day of the Observation Period. Promptly after such determination of the Daily Settlement Amounts or the Daily Conversion Values, as the case may be, and the amount of cash payable in lieu of delivering any fractional share of Common Stock, the Company shall notify the Trustee and the Conversion Agent (if other than the Trustee) of the Daily Settlement Amounts or the Daily Conversion Values, as the case may be, and the amount of cash payable in lieu of delivering fractional shares of Common Stock. The Trustee and the Conversion Agent (if other than the Trustee) shall have no responsibility for any such determination.</w:t>
      </w:r>
    </w:p>
    <w:p>
      <w:pPr>
        <w:spacing w:after="0" w:line="120" w:lineRule="exact"/>
        <w:rPr>
          <w:sz w:val="20"/>
          <w:szCs w:val="20"/>
          <w:color w:val="auto"/>
        </w:rPr>
      </w:pPr>
    </w:p>
    <w:p>
      <w:pPr>
        <w:jc w:val="center"/>
        <w:ind w:right="400"/>
        <w:spacing w:after="0"/>
        <w:rPr>
          <w:sz w:val="20"/>
          <w:szCs w:val="20"/>
          <w:color w:val="auto"/>
        </w:rPr>
      </w:pPr>
      <w:r>
        <w:rPr>
          <w:rFonts w:ascii="Times New Roman" w:cs="Times New Roman" w:eastAsia="Times New Roman" w:hAnsi="Times New Roman"/>
          <w:sz w:val="18"/>
          <w:szCs w:val="18"/>
          <w:color w:val="auto"/>
        </w:rPr>
        <w:t>62</w:t>
      </w:r>
    </w:p>
    <w:p>
      <w:pPr>
        <w:sectPr>
          <w:pgSz w:w="11900" w:h="16838" w:orient="portrait"/>
          <w:cols w:equalWidth="0" w:num="1">
            <w:col w:w="10540"/>
          </w:cols>
          <w:pgMar w:left="880" w:top="270" w:right="479" w:bottom="1440" w:gutter="0" w:footer="0" w:header="0"/>
        </w:sectPr>
      </w:pPr>
    </w:p>
    <w:bookmarkStart w:id="73" w:name="page74"/>
    <w:bookmarkEnd w:id="73"/>
    <w:p>
      <w:pPr>
        <w:ind w:left="4" w:right="80" w:firstLine="436"/>
        <w:spacing w:after="0" w:line="272" w:lineRule="auto"/>
        <w:tabs>
          <w:tab w:leader="none" w:pos="699" w:val="left"/>
        </w:tabs>
        <w:numPr>
          <w:ilvl w:val="1"/>
          <w:numId w:val="50"/>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Subject to Section 14.02(e), before any Holder of a Note shall be entitled to convert a Note as set forth above, such Holder shall (i) in the case of a Global Note, comply with the procedures of the Depositary in effect at that time and, if required, pay funds equal to interest payable on the next Interest Payment Date to which such Holder is not entitled as set forth in Section 14.02(h) and, if required, pay all transfer or similar taxes, if any, and</w:t>
      </w:r>
    </w:p>
    <w:p>
      <w:pPr>
        <w:spacing w:after="0" w:line="1" w:lineRule="exact"/>
        <w:rPr>
          <w:rFonts w:ascii="Times New Roman" w:cs="Times New Roman" w:eastAsia="Times New Roman" w:hAnsi="Times New Roman"/>
          <w:sz w:val="17"/>
          <w:szCs w:val="17"/>
          <w:color w:val="auto"/>
        </w:rPr>
      </w:pPr>
    </w:p>
    <w:p>
      <w:pPr>
        <w:ind w:left="4" w:hanging="4"/>
        <w:spacing w:after="0" w:line="251" w:lineRule="auto"/>
        <w:tabs>
          <w:tab w:leader="none" w:pos="269" w:val="left"/>
        </w:tabs>
        <w:numPr>
          <w:ilvl w:val="0"/>
          <w:numId w:val="5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case of a Physical Note (1) complete, manually sign and deliver an irrevocable notice to the Conversion Agent as set forth in the Form of Notice of Conversion (or a facsimile or electronic communication in PDF format) (a “</w:t>
      </w:r>
      <w:r>
        <w:rPr>
          <w:rFonts w:ascii="Times New Roman" w:cs="Times New Roman" w:eastAsia="Times New Roman" w:hAnsi="Times New Roman"/>
          <w:sz w:val="18"/>
          <w:szCs w:val="18"/>
          <w:b w:val="1"/>
          <w:bCs w:val="1"/>
          <w:color w:val="auto"/>
        </w:rPr>
        <w:t>Notice of Conversion</w:t>
      </w:r>
      <w:r>
        <w:rPr>
          <w:rFonts w:ascii="Times New Roman" w:cs="Times New Roman" w:eastAsia="Times New Roman" w:hAnsi="Times New Roman"/>
          <w:sz w:val="18"/>
          <w:szCs w:val="18"/>
          <w:color w:val="auto"/>
        </w:rPr>
        <w:t>”) at the Corporate Trust Office or the office of the Conversion Agent (if other than the Trustee) and state in writing therein the principal amount of Notes to be converted and the name or names (with addresses) in which such Holder wishes the certificate or certificates for any shares of Common Stock to be delivered upon settlement of the Conversion Obligation to be registered, (2) surrender such Notes, duly endorsed to the Company or in blank (and accompanied by appropriate endorsement and transfer documents), at the Corporate Trust Office or the office of the Conversion Agent (if other than the Trustee), (3) if required, furnish appropriate endorsements and transfer documents, (4) if required, pay funds equal to interest payable on the next Interest Payment Date to which such Holder is not entitled as set forth in Section 14.02(h) and (5) if required, pay all transfer or similar taxes, if any. The Trustee (and if different, the Conversion Agent) shall notify the Company of any conversion pursuant to this Article 14 on the Conversion Date for such conversion. No Notice of Conversion with respect to any Notes may be surrendered by a Holder thereof if such Holder has also delivered a Repurchase Notice or Fundamental Change Repurchase Notice to the Company in respect of such Notes and has not validly withdrawn such Repurchase Notice or Fundamental Change Repurchase Notice, as the case may be, in accordance with Section 15.03.</w:t>
      </w:r>
    </w:p>
    <w:p>
      <w:pPr>
        <w:spacing w:after="0" w:line="192" w:lineRule="exact"/>
        <w:rPr>
          <w:sz w:val="20"/>
          <w:szCs w:val="20"/>
          <w:color w:val="auto"/>
        </w:rPr>
      </w:pPr>
    </w:p>
    <w:p>
      <w:pPr>
        <w:ind w:left="4" w:right="160" w:firstLine="440"/>
        <w:spacing w:after="0" w:line="266" w:lineRule="auto"/>
        <w:rPr>
          <w:sz w:val="20"/>
          <w:szCs w:val="20"/>
          <w:color w:val="auto"/>
        </w:rPr>
      </w:pPr>
      <w:r>
        <w:rPr>
          <w:rFonts w:ascii="Times New Roman" w:cs="Times New Roman" w:eastAsia="Times New Roman" w:hAnsi="Times New Roman"/>
          <w:sz w:val="18"/>
          <w:szCs w:val="18"/>
          <w:color w:val="auto"/>
        </w:rPr>
        <w:t>If more than one Note shall be surrendered for conversion at one time by the same Holder, the Conversion Obligation with respect to such Notes shall be computed on the basis of the aggregate principal amount of the Notes (or specified portions thereof to the extent permitted thereby) so surrendered.</w:t>
      </w:r>
    </w:p>
    <w:p>
      <w:pPr>
        <w:spacing w:after="0" w:line="172" w:lineRule="exact"/>
        <w:rPr>
          <w:sz w:val="20"/>
          <w:szCs w:val="20"/>
          <w:color w:val="auto"/>
        </w:rPr>
      </w:pPr>
    </w:p>
    <w:p>
      <w:pPr>
        <w:ind w:left="4" w:firstLine="436"/>
        <w:spacing w:after="0" w:line="254" w:lineRule="auto"/>
        <w:tabs>
          <w:tab w:leader="none" w:pos="689" w:val="left"/>
        </w:tabs>
        <w:numPr>
          <w:ilvl w:val="0"/>
          <w:numId w:val="5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Note shall be deemed to have been converted immediately prior to the close of business on the date (the “</w:t>
      </w:r>
      <w:r>
        <w:rPr>
          <w:rFonts w:ascii="Times New Roman" w:cs="Times New Roman" w:eastAsia="Times New Roman" w:hAnsi="Times New Roman"/>
          <w:sz w:val="18"/>
          <w:szCs w:val="18"/>
          <w:b w:val="1"/>
          <w:bCs w:val="1"/>
          <w:color w:val="auto"/>
        </w:rPr>
        <w:t>Conversion Date</w:t>
      </w:r>
      <w:r>
        <w:rPr>
          <w:rFonts w:ascii="Times New Roman" w:cs="Times New Roman" w:eastAsia="Times New Roman" w:hAnsi="Times New Roman"/>
          <w:sz w:val="18"/>
          <w:szCs w:val="18"/>
          <w:color w:val="auto"/>
        </w:rPr>
        <w:t>”) that the Holder has complied with the requirements set forth in subsection (b) above. Except as set forth in Section 14.03(b) and Section 14.07(a), the Company shall pay or deliver, as the case may be, the consideration due in respect of the Conversion Obligation on the second Business Day immediately following the relevant Conversion Date, if the Company elects Physical Settlement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with respect to any conversion following the Regular Record Date immediately preceding the Maturity Date where Physical Settlement applies, the Company shall settle any such conversion on the Maturity Date or, if the Maturity Date is not a Business Day, the next succeeding Business Day, and the Conversion Date shall be deemed to be the second Business Day immediately before such date), or on the second Business Day immediately following the last Trading Day of the Observation Period, in the case of any other Settlement Method. If any shares of Common Stock are due to a converting Holder, the Company shall issue or cause to be issued, and deliver (if applicable) to the Conversion Agent or to such Holder, or such Holder’s nominee or nominees, the full number of shares of Common Stock to which such Holder shall be entitled, in book-entry format through the Depositary, in satisfaction of the Company’s Conversion Obligation.</w:t>
      </w:r>
    </w:p>
    <w:p>
      <w:pPr>
        <w:spacing w:after="0" w:line="122"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63</w:t>
      </w:r>
    </w:p>
    <w:p>
      <w:pPr>
        <w:sectPr>
          <w:pgSz w:w="11900" w:h="16838" w:orient="portrait"/>
          <w:cols w:equalWidth="0" w:num="1">
            <w:col w:w="11004"/>
          </w:cols>
          <w:pgMar w:left="436" w:top="270" w:right="459" w:bottom="1440" w:gutter="0" w:footer="0" w:header="0"/>
        </w:sectPr>
      </w:pPr>
    </w:p>
    <w:bookmarkStart w:id="74" w:name="page75"/>
    <w:bookmarkEnd w:id="74"/>
    <w:p>
      <w:pPr>
        <w:ind w:left="4" w:right="100" w:firstLine="436"/>
        <w:spacing w:after="0" w:line="256" w:lineRule="auto"/>
        <w:tabs>
          <w:tab w:leader="none" w:pos="699" w:val="left"/>
        </w:tabs>
        <w:numPr>
          <w:ilvl w:val="1"/>
          <w:numId w:val="5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In case any Note shall be surrendered for partial conversion, the Company shall execute and upon receipt of a Company Order, the Trustee shall authenticate and deliver to or upon the written order of the Holder of the Note so surrendered a new Note or Notes in authorized denominations in an aggregate principal amount equal to the unconverted portion of the surrendered Note, without payment of any service charge by the converting Holder but, if required by the Company or Trustee, with payment of a sum sufficient to cover any documentary, stamp or similar issue or transfer tax or similar governmental charge required by law or that may be imposed in connection therewith as a result of the name of the Holder of the new Notes issued upon such conversion being different from the name of the Holder of the old Notes surrendered for such conversion.</w:t>
      </w:r>
    </w:p>
    <w:p>
      <w:pPr>
        <w:spacing w:after="0" w:line="187" w:lineRule="exact"/>
        <w:rPr>
          <w:rFonts w:ascii="Times New Roman" w:cs="Times New Roman" w:eastAsia="Times New Roman" w:hAnsi="Times New Roman"/>
          <w:sz w:val="18"/>
          <w:szCs w:val="18"/>
          <w:color w:val="auto"/>
        </w:rPr>
      </w:pPr>
    </w:p>
    <w:p>
      <w:pPr>
        <w:ind w:left="4" w:right="20" w:firstLine="436"/>
        <w:spacing w:after="0" w:line="258" w:lineRule="auto"/>
        <w:tabs>
          <w:tab w:leader="none" w:pos="689" w:val="left"/>
        </w:tabs>
        <w:numPr>
          <w:ilvl w:val="1"/>
          <w:numId w:val="5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a Holder submits a Note for conversion, the Company shall pay any documentary, stamp or similar issue or transfer tax due on the issue of any shares of Common Stock upon conversion, unless the tax is due because the Holder requests such shares to be issued in a name other than the Holder’s name, in which case the Holder shall pay that tax. The Conversion Agent may refuse to deliver the certificates representing the shares of Common Stock being issued in a name other than the Holder’s name until the Trustee receives a sum sufficient to pay any tax that is due by such Holder in accordance with the immediately preceding sentence.</w:t>
      </w:r>
    </w:p>
    <w:p>
      <w:pPr>
        <w:spacing w:after="0" w:line="183" w:lineRule="exact"/>
        <w:rPr>
          <w:rFonts w:ascii="Times New Roman" w:cs="Times New Roman" w:eastAsia="Times New Roman" w:hAnsi="Times New Roman"/>
          <w:sz w:val="18"/>
          <w:szCs w:val="18"/>
          <w:color w:val="auto"/>
        </w:rPr>
      </w:pPr>
    </w:p>
    <w:p>
      <w:pPr>
        <w:ind w:left="4" w:right="20" w:firstLine="436"/>
        <w:spacing w:after="0" w:line="282" w:lineRule="auto"/>
        <w:tabs>
          <w:tab w:leader="none" w:pos="669" w:val="left"/>
        </w:tabs>
        <w:numPr>
          <w:ilvl w:val="1"/>
          <w:numId w:val="5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Except as provided in Section 14.04, no adjustment shall be made for dividends on any shares of Common Stock issued upon the conversion of any Note as provided in this Article 14.</w:t>
      </w:r>
    </w:p>
    <w:p>
      <w:pPr>
        <w:spacing w:after="0" w:line="161" w:lineRule="exact"/>
        <w:rPr>
          <w:rFonts w:ascii="Times New Roman" w:cs="Times New Roman" w:eastAsia="Times New Roman" w:hAnsi="Times New Roman"/>
          <w:sz w:val="18"/>
          <w:szCs w:val="18"/>
          <w:color w:val="auto"/>
        </w:rPr>
      </w:pPr>
    </w:p>
    <w:p>
      <w:pPr>
        <w:jc w:val="both"/>
        <w:ind w:left="4" w:right="20" w:firstLine="436"/>
        <w:spacing w:after="0" w:line="266" w:lineRule="auto"/>
        <w:tabs>
          <w:tab w:leader="none" w:pos="699" w:val="left"/>
        </w:tabs>
        <w:numPr>
          <w:ilvl w:val="1"/>
          <w:numId w:val="5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Upon the conversion of an interest in a Global Note, the Trustee, or the Custodian at the direction of the Trustee, shall make a notation on such Global Note as to the reduction in the principal amount represented thereby. The Company shall notify the Trustee in writing of any conversion of Notes effected through any Conversion Agent other than the Trustee.</w:t>
      </w:r>
    </w:p>
    <w:p>
      <w:pPr>
        <w:spacing w:after="0" w:line="175" w:lineRule="exact"/>
        <w:rPr>
          <w:rFonts w:ascii="Times New Roman" w:cs="Times New Roman" w:eastAsia="Times New Roman" w:hAnsi="Times New Roman"/>
          <w:sz w:val="18"/>
          <w:szCs w:val="18"/>
          <w:color w:val="auto"/>
        </w:rPr>
      </w:pPr>
    </w:p>
    <w:p>
      <w:pPr>
        <w:ind w:left="4" w:firstLine="436"/>
        <w:spacing w:after="0" w:line="267" w:lineRule="auto"/>
        <w:tabs>
          <w:tab w:leader="none" w:pos="699" w:val="left"/>
        </w:tabs>
        <w:numPr>
          <w:ilvl w:val="1"/>
          <w:numId w:val="53"/>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 xml:space="preserve">Upon conversion, a Holder shall not receive any separate cash payment for accrued and unpaid interest, if any, except as set forth below. The Company’s settlement of the full Conversion Obligation shall be deemed to satisfy in full its obligation to pay the principal amount of the Note and accrued and unpaid interest, if any, to, but not including, the relevant Conversion Date. As a result, accrued and unpaid interest, if any, to, but not including, the relevant Conversion Date shall be deemed to be paid in full rather than cancelled, extinguished or forfeited. Upon a conversion of Notes into a combination of cash and shares of Common Stock, accrued and unpaid interest will be deemed to be paid first out of the cash paid upon such conversion. Notwithstanding the foregoing, if Notes are converted after the close of business on a Regular Record Date but prior to the open of business on the immediately following Interest Payment Date, Holders of such Notes as of the close of business on such Regular Record Date will receive the full amount of interest payable on such Notes on the corresponding Interest Payment Date notwithstanding the conversion. Notes surrendered for conversion during the period from the close of business on any Regular Record Date to the open of business on the immediately following Interest Payment Date must be accompanied by funds equal to the amount of interest payable on the Notes so converted;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 xml:space="preserve"> that no such payment shall be required</w:t>
      </w:r>
    </w:p>
    <w:p>
      <w:pPr>
        <w:spacing w:after="0" w:line="3" w:lineRule="exact"/>
        <w:rPr>
          <w:rFonts w:ascii="Times New Roman" w:cs="Times New Roman" w:eastAsia="Times New Roman" w:hAnsi="Times New Roman"/>
          <w:sz w:val="17"/>
          <w:szCs w:val="17"/>
          <w:color w:val="auto"/>
        </w:rPr>
      </w:pPr>
    </w:p>
    <w:p>
      <w:pPr>
        <w:ind w:left="4" w:right="160" w:hanging="4"/>
        <w:spacing w:after="0" w:line="260" w:lineRule="auto"/>
        <w:tabs>
          <w:tab w:leader="none" w:pos="259" w:val="left"/>
        </w:tabs>
        <w:numPr>
          <w:ilvl w:val="0"/>
          <w:numId w:val="5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for conversions following the Regular Record Date immediately preceding the Maturity Date; (2) if the Company has specified a Redemption Date that is after a Regular Record Date and on or prior to the second Scheduled Trading Day immediately following the</w:t>
      </w:r>
    </w:p>
    <w:p>
      <w:pPr>
        <w:spacing w:after="0" w:line="114"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64</w:t>
      </w:r>
    </w:p>
    <w:p>
      <w:pPr>
        <w:sectPr>
          <w:pgSz w:w="11900" w:h="16838" w:orient="portrait"/>
          <w:cols w:equalWidth="0" w:num="1">
            <w:col w:w="11004"/>
          </w:cols>
          <w:pgMar w:left="436" w:top="270" w:right="459" w:bottom="1440" w:gutter="0" w:footer="0" w:header="0"/>
        </w:sectPr>
      </w:pPr>
    </w:p>
    <w:bookmarkStart w:id="75" w:name="page76"/>
    <w:bookmarkEnd w:id="75"/>
    <w:p>
      <w:pPr>
        <w:spacing w:after="0" w:line="255"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corresponding Interest Payment Date; (3) if the Company has specified a Fundamental Change Repurchase Date that is after a Regular Record Date and on or prior to the Business Day immediately following the corresponding Interest Payment Date; or (4) to the extent of any Defaulted Amounts, if any Defaulted Amounts exists at the time of conversion with respect to such Note. Therefore, for the avoidance of doubt, all Holders of record as of the close of business on the Regular Record Date immediately preceding the Maturity Date, a Fundamental Change Repurchase Date or a Redemption Date shall receive the full interest payment due on the Maturity Date, the Fundamental Change Repurchase Date or the Redemption Date in cash regardless of whether their Notes have been converted following such Regular Record Date and the converting Holder shall not be required to make a corresponding payment.</w:t>
      </w:r>
    </w:p>
    <w:p>
      <w:pPr>
        <w:spacing w:after="0" w:line="189" w:lineRule="exact"/>
        <w:rPr>
          <w:sz w:val="20"/>
          <w:szCs w:val="20"/>
          <w:color w:val="auto"/>
        </w:rPr>
      </w:pPr>
    </w:p>
    <w:p>
      <w:pPr>
        <w:ind w:right="40" w:firstLine="436"/>
        <w:spacing w:after="0" w:line="261" w:lineRule="auto"/>
        <w:tabs>
          <w:tab w:leader="none" w:pos="655" w:val="left"/>
        </w:tabs>
        <w:numPr>
          <w:ilvl w:val="0"/>
          <w:numId w:val="5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Person in whose name the shares of Common Stock shall be issuable upon conversion shall be treated as a stockholder of record as of the close of business on the relevant Conversion Date (if the Company elects to satisfy the related Conversion Obligation by Physical Settlement) or the last Trading Day of the relevant Observation Period (if the Company elects to satisfy the related Conversion Obligation by Combination Settlement), as the case may be. Upon a conversion of Notes, such Person shall no longer be a Holder of such Notes surrendered for conversion.</w:t>
      </w:r>
    </w:p>
    <w:p>
      <w:pPr>
        <w:spacing w:after="0" w:line="179" w:lineRule="exact"/>
        <w:rPr>
          <w:rFonts w:ascii="Times New Roman" w:cs="Times New Roman" w:eastAsia="Times New Roman" w:hAnsi="Times New Roman"/>
          <w:sz w:val="18"/>
          <w:szCs w:val="18"/>
          <w:color w:val="auto"/>
        </w:rPr>
      </w:pPr>
    </w:p>
    <w:p>
      <w:pPr>
        <w:ind w:right="120" w:firstLine="436"/>
        <w:spacing w:after="0" w:line="256" w:lineRule="auto"/>
        <w:tabs>
          <w:tab w:leader="none" w:pos="655" w:val="left"/>
        </w:tabs>
        <w:numPr>
          <w:ilvl w:val="0"/>
          <w:numId w:val="5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shall not issue any fractional share of Common Stock upon conversion of the Notes and shall instead pay cash in lieu of delivering any fractional share of Common Stock issuable upon conversion based on the Daily VWAP for the relevant Conversion Date (in the case of Physical Settlement) or based on the Daily VWAP for the last Trading Day of the relevant Observation Period (in the case of Combination Settlement). For each Note surrendered for conversion, if the Company has elected Combination Settlement, the full number of shares that shall be issued upon conversion thereof shall be computed on the basis of the aggregate Daily Settlement Amounts for the relevant Observation Period and any fractional shares remaining after such computation shall be paid in cash.</w:t>
      </w:r>
    </w:p>
    <w:p>
      <w:pPr>
        <w:spacing w:after="0" w:line="185" w:lineRule="exact"/>
        <w:rPr>
          <w:sz w:val="20"/>
          <w:szCs w:val="20"/>
          <w:color w:val="auto"/>
        </w:rPr>
      </w:pPr>
    </w:p>
    <w:p>
      <w:pPr>
        <w:ind w:right="60" w:firstLine="440"/>
        <w:spacing w:after="0" w:line="253" w:lineRule="auto"/>
        <w:rPr>
          <w:sz w:val="20"/>
          <w:szCs w:val="20"/>
          <w:color w:val="auto"/>
        </w:rPr>
      </w:pPr>
      <w:r>
        <w:rPr>
          <w:rFonts w:ascii="Times New Roman" w:cs="Times New Roman" w:eastAsia="Times New Roman" w:hAnsi="Times New Roman"/>
          <w:sz w:val="18"/>
          <w:szCs w:val="18"/>
          <w:color w:val="auto"/>
        </w:rPr>
        <w:t>Section 14.03</w:t>
      </w:r>
      <w:r>
        <w:rPr>
          <w:rFonts w:ascii="Times New Roman" w:cs="Times New Roman" w:eastAsia="Times New Roman" w:hAnsi="Times New Roman"/>
          <w:sz w:val="18"/>
          <w:szCs w:val="18"/>
          <w:i w:val="1"/>
          <w:iCs w:val="1"/>
          <w:color w:val="auto"/>
        </w:rPr>
        <w:t>. Increased Conversion Rate Applicable to Certain Notes Surrendered in Connection with Make-Whole Fundamental Changes or a</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 xml:space="preserve">Redemption Notice. </w:t>
      </w:r>
      <w:r>
        <w:rPr>
          <w:rFonts w:ascii="Times New Roman" w:cs="Times New Roman" w:eastAsia="Times New Roman" w:hAnsi="Times New Roman"/>
          <w:sz w:val="18"/>
          <w:szCs w:val="18"/>
          <w:color w:val="auto"/>
        </w:rPr>
        <w:t>(a) If (i) the Effective Date of a Make-Whole Fundamental Change occurs prior to the Maturity Date or (ii) the Company issues a</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Redemption Notice pursuant to Section 16.02 with respect to any or all of the Notes and, in each case, a Holder elects to convert its Notes in connection with such Make-Whole Fundamental Change or a Redemption Notice, as applicable, the Company shall, in each case, under the circumstances described below, increase the Conversion Rate for the Notes so surrendered for conversion by a number of additional shares of Common Stock (the “</w:t>
      </w:r>
      <w:r>
        <w:rPr>
          <w:rFonts w:ascii="Times New Roman" w:cs="Times New Roman" w:eastAsia="Times New Roman" w:hAnsi="Times New Roman"/>
          <w:sz w:val="18"/>
          <w:szCs w:val="18"/>
          <w:b w:val="1"/>
          <w:bCs w:val="1"/>
          <w:color w:val="auto"/>
        </w:rPr>
        <w:t>Additional Shares</w:t>
      </w:r>
      <w:r>
        <w:rPr>
          <w:rFonts w:ascii="Times New Roman" w:cs="Times New Roman" w:eastAsia="Times New Roman" w:hAnsi="Times New Roman"/>
          <w:sz w:val="18"/>
          <w:szCs w:val="18"/>
          <w:color w:val="auto"/>
        </w:rPr>
        <w:t xml:space="preserve">”), as described below. A conversion of Notes shall be deemed for these purposes to be “in connection with” such Make-Whole Fundamental Change if the relevant Notice of Conversion is received by the Conversion Agent from, and including, the Effective Date of the Make-Whole Fundamental Change up to, and including, the Business Day immediately prior to the related Fundamental Change Repurchase Date (or, in the case of a Make-Whole Fundamental Change that would have been a Fundamental Change but for clause (i) of the </w:t>
      </w:r>
      <w:r>
        <w:rPr>
          <w:rFonts w:ascii="Times New Roman" w:cs="Times New Roman" w:eastAsia="Times New Roman" w:hAnsi="Times New Roman"/>
          <w:sz w:val="18"/>
          <w:szCs w:val="18"/>
          <w:i w:val="1"/>
          <w:iCs w:val="1"/>
          <w:color w:val="auto"/>
        </w:rPr>
        <w:t>proviso</w:t>
      </w:r>
      <w:r>
        <w:rPr>
          <w:rFonts w:ascii="Times New Roman" w:cs="Times New Roman" w:eastAsia="Times New Roman" w:hAnsi="Times New Roman"/>
          <w:sz w:val="18"/>
          <w:szCs w:val="18"/>
          <w:color w:val="auto"/>
        </w:rPr>
        <w:t xml:space="preserve"> in clause (b) of the definition thereof, the 35th Trading Day immediately following the Effective Date of such Make-Whole Fundamental Change) (such period, the “</w:t>
      </w:r>
      <w:r>
        <w:rPr>
          <w:rFonts w:ascii="Times New Roman" w:cs="Times New Roman" w:eastAsia="Times New Roman" w:hAnsi="Times New Roman"/>
          <w:sz w:val="18"/>
          <w:szCs w:val="18"/>
          <w:b w:val="1"/>
          <w:bCs w:val="1"/>
          <w:color w:val="auto"/>
        </w:rPr>
        <w:t>Make-Whole</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Fundamental Change Period</w:t>
      </w:r>
      <w:r>
        <w:rPr>
          <w:rFonts w:ascii="Times New Roman" w:cs="Times New Roman" w:eastAsia="Times New Roman" w:hAnsi="Times New Roman"/>
          <w:sz w:val="18"/>
          <w:szCs w:val="18"/>
          <w:color w:val="auto"/>
        </w:rPr>
        <w:t>”). A conversion of Notes shall be deemed for these purposes to be “in connection with” a Redemption Notice if the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Notice of Conversion is received by the Conversion Agent from, and including the date of the Redemption Notice until the close of business on the second Scheduled Trading Day immediately preceding the Redemption Date.</w:t>
      </w:r>
    </w:p>
    <w:p>
      <w:pPr>
        <w:spacing w:after="0" w:line="12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65</w:t>
      </w:r>
    </w:p>
    <w:p>
      <w:pPr>
        <w:sectPr>
          <w:pgSz w:w="11900" w:h="16838" w:orient="portrait"/>
          <w:cols w:equalWidth="0" w:num="1">
            <w:col w:w="11000"/>
          </w:cols>
          <w:pgMar w:left="440" w:top="270" w:right="459" w:bottom="1440" w:gutter="0" w:footer="0" w:header="0"/>
        </w:sectPr>
      </w:pPr>
    </w:p>
    <w:bookmarkStart w:id="76" w:name="page77"/>
    <w:bookmarkEnd w:id="76"/>
    <w:p>
      <w:pPr>
        <w:ind w:firstLine="436"/>
        <w:spacing w:after="0" w:line="270" w:lineRule="auto"/>
        <w:tabs>
          <w:tab w:leader="none" w:pos="695" w:val="left"/>
        </w:tabs>
        <w:numPr>
          <w:ilvl w:val="0"/>
          <w:numId w:val="56"/>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Upon surrender of Notes for conversion in connection with a Make-Whole Fundamental Change pursuant to Section 14.01(b)(iii) or a Redemption Notice pursuant to Section 14.01(b)(v), the Company shall, at its option, satisfy the related Conversion Obligation by Physical Settlement, Cash Settlement or Combination Settlement in accordance with Section 14.02;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 xml:space="preserve">, </w:t>
      </w:r>
      <w:r>
        <w:rPr>
          <w:rFonts w:ascii="Times New Roman" w:cs="Times New Roman" w:eastAsia="Times New Roman" w:hAnsi="Times New Roman"/>
          <w:sz w:val="17"/>
          <w:szCs w:val="17"/>
          <w:i w:val="1"/>
          <w:iCs w:val="1"/>
          <w:color w:val="auto"/>
        </w:rPr>
        <w:t>however</w:t>
      </w:r>
      <w:r>
        <w:rPr>
          <w:rFonts w:ascii="Times New Roman" w:cs="Times New Roman" w:eastAsia="Times New Roman" w:hAnsi="Times New Roman"/>
          <w:sz w:val="17"/>
          <w:szCs w:val="17"/>
          <w:color w:val="auto"/>
        </w:rPr>
        <w:t xml:space="preserve">, that if, at the effective time of a Make-Whole Fundamental Change described in clause (b) of the definition of Fundamental Change, the Reference Property following such Make-Whole Fundamental Change is composed entirely of cash, for any conversion of Notes following the Effective Date of such Make-Whole Fundamental Change, the Conversion Obligation shall be calculated based solely on the Stock Price for the transaction and shall be deemed to be an amount of cash per $1,000 principal amount of converted Notes equal to the Conversion Rate (including any adjustment for Additional Shares), </w:t>
      </w:r>
      <w:r>
        <w:rPr>
          <w:rFonts w:ascii="Times New Roman" w:cs="Times New Roman" w:eastAsia="Times New Roman" w:hAnsi="Times New Roman"/>
          <w:sz w:val="17"/>
          <w:szCs w:val="17"/>
          <w:i w:val="1"/>
          <w:iCs w:val="1"/>
          <w:color w:val="auto"/>
        </w:rPr>
        <w:t>multiplied by</w:t>
      </w:r>
      <w:r>
        <w:rPr>
          <w:rFonts w:ascii="Times New Roman" w:cs="Times New Roman" w:eastAsia="Times New Roman" w:hAnsi="Times New Roman"/>
          <w:sz w:val="17"/>
          <w:szCs w:val="17"/>
          <w:color w:val="auto"/>
        </w:rPr>
        <w:t xml:space="preserve"> such Stock Price. In such event, the Conversion Obligation shall be paid to Holders in cash on the second Business Day immediately following the Conversion Date. The Company shall notify in writing the Holders, the Trustee and the Conversion Agent (if other than the Trustee) of the Effective Date of any Make-Whole Fundamental Change and issue a press release announcing such Effective Date no later than five Business Days after such Effective Date.</w:t>
      </w:r>
    </w:p>
    <w:p>
      <w:pPr>
        <w:spacing w:after="0" w:line="176" w:lineRule="exact"/>
        <w:rPr>
          <w:rFonts w:ascii="Times New Roman" w:cs="Times New Roman" w:eastAsia="Times New Roman" w:hAnsi="Times New Roman"/>
          <w:sz w:val="17"/>
          <w:szCs w:val="17"/>
          <w:color w:val="auto"/>
        </w:rPr>
      </w:pPr>
    </w:p>
    <w:p>
      <w:pPr>
        <w:ind w:right="40" w:firstLine="436"/>
        <w:spacing w:after="0" w:line="266" w:lineRule="auto"/>
        <w:tabs>
          <w:tab w:leader="none" w:pos="685" w:val="left"/>
        </w:tabs>
        <w:numPr>
          <w:ilvl w:val="0"/>
          <w:numId w:val="56"/>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The number of Additional Shares, if any, by which the Conversion Rate shall be increased shall be determined by reference to the table below, based on the date on which the Make-Whole Fundamental Change occurs or becomes effective, or the date of the Redemption Notice, as the case may be (in each case, the “</w:t>
      </w:r>
      <w:r>
        <w:rPr>
          <w:rFonts w:ascii="Times New Roman" w:cs="Times New Roman" w:eastAsia="Times New Roman" w:hAnsi="Times New Roman"/>
          <w:sz w:val="17"/>
          <w:szCs w:val="17"/>
          <w:b w:val="1"/>
          <w:bCs w:val="1"/>
          <w:color w:val="auto"/>
        </w:rPr>
        <w:t>Effective Date</w:t>
      </w:r>
      <w:r>
        <w:rPr>
          <w:rFonts w:ascii="Times New Roman" w:cs="Times New Roman" w:eastAsia="Times New Roman" w:hAnsi="Times New Roman"/>
          <w:sz w:val="17"/>
          <w:szCs w:val="17"/>
          <w:color w:val="auto"/>
        </w:rPr>
        <w:t>”) and the price paid (or deemed to be paid) per share of the Common Stock in the Make-Whole Fundamental Change or determined with respect to the Optional Redemption, as the case may be (the “</w:t>
      </w:r>
      <w:r>
        <w:rPr>
          <w:rFonts w:ascii="Times New Roman" w:cs="Times New Roman" w:eastAsia="Times New Roman" w:hAnsi="Times New Roman"/>
          <w:sz w:val="17"/>
          <w:szCs w:val="17"/>
          <w:b w:val="1"/>
          <w:bCs w:val="1"/>
          <w:color w:val="auto"/>
        </w:rPr>
        <w:t>Stock Price</w:t>
      </w:r>
      <w:r>
        <w:rPr>
          <w:rFonts w:ascii="Times New Roman" w:cs="Times New Roman" w:eastAsia="Times New Roman" w:hAnsi="Times New Roman"/>
          <w:sz w:val="17"/>
          <w:szCs w:val="17"/>
          <w:color w:val="auto"/>
        </w:rPr>
        <w:t>”). If the holders of the Common Stock receive in exchange for their Common Stock only cash in a Make-Whole Fundamental Change described in clause (b) of the definition of Fundamental Change, the Stock Price shall be the cash amount paid per share. Otherwise, the Stock Price shall be the average of the Last Reported Sale Prices of the Common Stock over the five Trading Day period ending on, and including, the Trading Day immediately preceding the Effective Date of the Make-Whole Fundamental Change or the date of the Redemption Notice, as the case may be. In the event that a conversion in connection with a Redemption Notice would also be deemed to be in connection with a Make-Whole Fundamental Change, a Holder of the Notes to be converted shall be entitled to a single increase to the Conversion Rate with respect to the first to occur of the date of the applicable Redemption Notice or the Effective Date of the applicable Make-Whole Fundamental Change, and the later event shall be deemed not to have occurred for purposes of this Section 14.03. The Company shall make appropriate adjustments to the Stock Price, in its good faith determination, to account for any adjustment to the Conversion Rate that becomes effective, or any event requiring an adjustment to the Conversion Rate where the Ex-Dividend Date, Effective Date (as such term is used in</w:t>
      </w:r>
    </w:p>
    <w:p>
      <w:pPr>
        <w:spacing w:after="0" w:line="9" w:lineRule="exact"/>
        <w:rPr>
          <w:rFonts w:ascii="Times New Roman" w:cs="Times New Roman" w:eastAsia="Times New Roman" w:hAnsi="Times New Roman"/>
          <w:sz w:val="17"/>
          <w:szCs w:val="17"/>
          <w:color w:val="auto"/>
        </w:rPr>
      </w:pPr>
    </w:p>
    <w:p>
      <w:pPr>
        <w:spacing w:after="0"/>
        <w:rPr>
          <w:rFonts w:ascii="Times New Roman" w:cs="Times New Roman" w:eastAsia="Times New Roman" w:hAnsi="Times New Roman"/>
          <w:sz w:val="17"/>
          <w:szCs w:val="17"/>
          <w:color w:val="auto"/>
        </w:rPr>
      </w:pPr>
      <w:r>
        <w:rPr>
          <w:rFonts w:ascii="Times New Roman" w:cs="Times New Roman" w:eastAsia="Times New Roman" w:hAnsi="Times New Roman"/>
          <w:sz w:val="18"/>
          <w:szCs w:val="18"/>
          <w:color w:val="auto"/>
        </w:rPr>
        <w:t>Section 14.04) or expiration date of the event occurs during such five consecutive Trading Day period.</w:t>
      </w:r>
    </w:p>
    <w:p>
      <w:pPr>
        <w:spacing w:after="0" w:line="13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66</w:t>
      </w:r>
    </w:p>
    <w:p>
      <w:pPr>
        <w:sectPr>
          <w:pgSz w:w="11900" w:h="16838" w:orient="portrait"/>
          <w:cols w:equalWidth="0" w:num="1">
            <w:col w:w="11000"/>
          </w:cols>
          <w:pgMar w:left="440" w:top="270" w:right="459" w:bottom="1440" w:gutter="0" w:footer="0" w:header="0"/>
        </w:sectPr>
      </w:pPr>
    </w:p>
    <w:bookmarkStart w:id="77" w:name="page78"/>
    <w:bookmarkEnd w:id="77"/>
    <w:p>
      <w:pPr>
        <w:ind w:right="20" w:firstLine="436"/>
        <w:spacing w:after="0" w:line="258" w:lineRule="auto"/>
        <w:tabs>
          <w:tab w:leader="none" w:pos="695" w:val="left"/>
        </w:tabs>
        <w:numPr>
          <w:ilvl w:val="0"/>
          <w:numId w:val="5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The Stock Prices set forth in the column headings of the table below shall be adjusted as of any date on which the Conversion Rate is otherwise adjusted. The adjusted Stock Prices shall equal the Stock Prices applicable immediately prior to such adjustment, </w:t>
      </w:r>
      <w:r>
        <w:rPr>
          <w:rFonts w:ascii="Times New Roman" w:cs="Times New Roman" w:eastAsia="Times New Roman" w:hAnsi="Times New Roman"/>
          <w:sz w:val="18"/>
          <w:szCs w:val="18"/>
          <w:i w:val="1"/>
          <w:iCs w:val="1"/>
          <w:color w:val="auto"/>
        </w:rPr>
        <w:t>multiplied by</w:t>
      </w:r>
      <w:r>
        <w:rPr>
          <w:rFonts w:ascii="Times New Roman" w:cs="Times New Roman" w:eastAsia="Times New Roman" w:hAnsi="Times New Roman"/>
          <w:sz w:val="18"/>
          <w:szCs w:val="18"/>
          <w:color w:val="auto"/>
        </w:rPr>
        <w:t xml:space="preserve"> a fraction, the numerator of which is the Conversion Rate immediately prior to such adjustment giving rise to the Stock Price adjustment and the denominator of which is the Conversion Rate as so adjusted. The number of Additional Shares set forth in the table below shall be adjusted in the same manner and at the same time as the Conversion Rate as set forth in Section 14.04.</w:t>
      </w:r>
    </w:p>
    <w:p>
      <w:pPr>
        <w:spacing w:after="0" w:line="183" w:lineRule="exact"/>
        <w:rPr>
          <w:rFonts w:ascii="Times New Roman" w:cs="Times New Roman" w:eastAsia="Times New Roman" w:hAnsi="Times New Roman"/>
          <w:sz w:val="18"/>
          <w:szCs w:val="18"/>
          <w:color w:val="auto"/>
        </w:rPr>
      </w:pPr>
    </w:p>
    <w:p>
      <w:pPr>
        <w:ind w:right="180" w:firstLine="436"/>
        <w:spacing w:after="0" w:line="282" w:lineRule="auto"/>
        <w:tabs>
          <w:tab w:leader="none" w:pos="685" w:val="left"/>
        </w:tabs>
        <w:numPr>
          <w:ilvl w:val="0"/>
          <w:numId w:val="5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following table sets forth the number of Additional Shares by which the Conversion Rate shall be increased per $1,000 principal amount of Notes pursuant to this Section 14.03 for each Stock Price and Effective Date set forth below:</w:t>
      </w:r>
    </w:p>
    <w:p>
      <w:pPr>
        <w:spacing w:after="0" w:line="182"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880" w:type="dxa"/>
            <w:vAlign w:val="bottom"/>
            <w:vMerge w:val="restart"/>
          </w:tcPr>
          <w:p>
            <w:pPr>
              <w:spacing w:after="0"/>
              <w:rPr>
                <w:sz w:val="20"/>
                <w:szCs w:val="20"/>
                <w:color w:val="auto"/>
              </w:rPr>
            </w:pPr>
            <w:r>
              <w:rPr>
                <w:rFonts w:ascii="Times New Roman" w:cs="Times New Roman" w:eastAsia="Times New Roman" w:hAnsi="Times New Roman"/>
                <w:sz w:val="14"/>
                <w:szCs w:val="14"/>
                <w:b w:val="1"/>
                <w:bCs w:val="1"/>
                <w:color w:val="auto"/>
              </w:rPr>
              <w:t>Effective Date</w:t>
            </w:r>
          </w:p>
        </w:tc>
        <w:tc>
          <w:tcPr>
            <w:tcW w:w="3480" w:type="dxa"/>
            <w:vAlign w:val="bottom"/>
            <w:vMerge w:val="restart"/>
          </w:tcPr>
          <w:p>
            <w:pPr>
              <w:spacing w:after="0"/>
              <w:rPr>
                <w:sz w:val="15"/>
                <w:szCs w:val="15"/>
                <w:color w:val="auto"/>
              </w:rPr>
            </w:pPr>
          </w:p>
        </w:tc>
        <w:tc>
          <w:tcPr>
            <w:tcW w:w="60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58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58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580" w:type="dxa"/>
            <w:vAlign w:val="bottom"/>
            <w:tcBorders>
              <w:bottom w:val="single" w:sz="8" w:color="auto"/>
            </w:tcBorders>
          </w:tcPr>
          <w:p>
            <w:pPr>
              <w:spacing w:after="0"/>
              <w:rPr>
                <w:sz w:val="15"/>
                <w:szCs w:val="15"/>
                <w:color w:val="auto"/>
              </w:rPr>
            </w:pPr>
          </w:p>
        </w:tc>
        <w:tc>
          <w:tcPr>
            <w:tcW w:w="60" w:type="dxa"/>
            <w:vAlign w:val="bottom"/>
            <w:tcBorders>
              <w:bottom w:val="single" w:sz="8" w:color="auto"/>
            </w:tcBorders>
          </w:tcPr>
          <w:p>
            <w:pPr>
              <w:spacing w:after="0"/>
              <w:rPr>
                <w:sz w:val="15"/>
                <w:szCs w:val="15"/>
                <w:color w:val="auto"/>
              </w:rPr>
            </w:pPr>
          </w:p>
        </w:tc>
        <w:tc>
          <w:tcPr>
            <w:tcW w:w="840" w:type="dxa"/>
            <w:vAlign w:val="bottom"/>
            <w:tcBorders>
              <w:bottom w:val="single" w:sz="8" w:color="auto"/>
            </w:tcBorders>
            <w:gridSpan w:val="3"/>
          </w:tcPr>
          <w:p>
            <w:pPr>
              <w:jc w:val="right"/>
              <w:ind w:right="60"/>
              <w:spacing w:after="0"/>
              <w:rPr>
                <w:sz w:val="20"/>
                <w:szCs w:val="20"/>
                <w:color w:val="auto"/>
              </w:rPr>
            </w:pPr>
            <w:r>
              <w:rPr>
                <w:rFonts w:ascii="Times New Roman" w:cs="Times New Roman" w:eastAsia="Times New Roman" w:hAnsi="Times New Roman"/>
                <w:sz w:val="14"/>
                <w:szCs w:val="14"/>
                <w:b w:val="1"/>
                <w:bCs w:val="1"/>
                <w:color w:val="auto"/>
              </w:rPr>
              <w:t>Stock Price</w:t>
            </w:r>
          </w:p>
        </w:tc>
        <w:tc>
          <w:tcPr>
            <w:tcW w:w="58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58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58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660" w:type="dxa"/>
            <w:vAlign w:val="bottom"/>
            <w:tcBorders>
              <w:bottom w:val="single" w:sz="8" w:color="auto"/>
            </w:tcBorders>
          </w:tcPr>
          <w:p>
            <w:pPr>
              <w:spacing w:after="0"/>
              <w:rPr>
                <w:sz w:val="15"/>
                <w:szCs w:val="15"/>
                <w:color w:val="auto"/>
              </w:rPr>
            </w:pPr>
          </w:p>
        </w:tc>
        <w:tc>
          <w:tcPr>
            <w:tcW w:w="6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48"/>
        </w:trPr>
        <w:tc>
          <w:tcPr>
            <w:tcW w:w="880" w:type="dxa"/>
            <w:vAlign w:val="bottom"/>
            <w:tcBorders>
              <w:bottom w:val="single" w:sz="8" w:color="auto"/>
            </w:tcBorders>
            <w:vMerge w:val="continue"/>
          </w:tcPr>
          <w:p>
            <w:pPr>
              <w:spacing w:after="0"/>
              <w:rPr>
                <w:sz w:val="12"/>
                <w:szCs w:val="12"/>
                <w:color w:val="auto"/>
              </w:rPr>
            </w:pPr>
          </w:p>
        </w:tc>
        <w:tc>
          <w:tcPr>
            <w:tcW w:w="3480" w:type="dxa"/>
            <w:vAlign w:val="bottom"/>
            <w:vMerge w:val="continue"/>
          </w:tcPr>
          <w:p>
            <w:pPr>
              <w:spacing w:after="0"/>
              <w:rPr>
                <w:sz w:val="12"/>
                <w:szCs w:val="12"/>
                <w:color w:val="auto"/>
              </w:rPr>
            </w:pPr>
          </w:p>
        </w:tc>
        <w:tc>
          <w:tcPr>
            <w:tcW w:w="600" w:type="dxa"/>
            <w:vAlign w:val="bottom"/>
          </w:tcPr>
          <w:p>
            <w:pPr>
              <w:jc w:val="right"/>
              <w:spacing w:after="0" w:line="129" w:lineRule="exact"/>
              <w:rPr>
                <w:sz w:val="20"/>
                <w:szCs w:val="20"/>
                <w:color w:val="auto"/>
              </w:rPr>
            </w:pPr>
            <w:r>
              <w:rPr>
                <w:rFonts w:ascii="Times New Roman" w:cs="Times New Roman" w:eastAsia="Times New Roman" w:hAnsi="Times New Roman"/>
                <w:sz w:val="14"/>
                <w:szCs w:val="14"/>
                <w:b w:val="1"/>
                <w:bCs w:val="1"/>
                <w:u w:val="single" w:color="auto"/>
                <w:color w:val="auto"/>
                <w:w w:val="99"/>
              </w:rPr>
              <w:t>$</w:t>
            </w:r>
            <w:r>
              <w:rPr>
                <w:rFonts w:ascii="Times New Roman" w:cs="Times New Roman" w:eastAsia="Times New Roman" w:hAnsi="Times New Roman"/>
                <w:sz w:val="14"/>
                <w:szCs w:val="14"/>
                <w:b w:val="1"/>
                <w:bCs w:val="1"/>
                <w:color w:val="auto"/>
                <w:w w:val="99"/>
              </w:rPr>
              <w:t>1,513.46</w:t>
            </w:r>
          </w:p>
        </w:tc>
        <w:tc>
          <w:tcPr>
            <w:tcW w:w="160" w:type="dxa"/>
            <w:vAlign w:val="bottom"/>
          </w:tcPr>
          <w:p>
            <w:pPr>
              <w:spacing w:after="0"/>
              <w:rPr>
                <w:sz w:val="12"/>
                <w:szCs w:val="12"/>
                <w:color w:val="auto"/>
              </w:rPr>
            </w:pPr>
          </w:p>
        </w:tc>
        <w:tc>
          <w:tcPr>
            <w:tcW w:w="580" w:type="dxa"/>
            <w:vAlign w:val="bottom"/>
          </w:tcPr>
          <w:p>
            <w:pPr>
              <w:jc w:val="right"/>
              <w:spacing w:after="0" w:line="129" w:lineRule="exact"/>
              <w:rPr>
                <w:sz w:val="20"/>
                <w:szCs w:val="20"/>
                <w:color w:val="auto"/>
              </w:rPr>
            </w:pPr>
            <w:r>
              <w:rPr>
                <w:rFonts w:ascii="Times New Roman" w:cs="Times New Roman" w:eastAsia="Times New Roman" w:hAnsi="Times New Roman"/>
                <w:sz w:val="14"/>
                <w:szCs w:val="14"/>
                <w:b w:val="1"/>
                <w:bCs w:val="1"/>
                <w:u w:val="single" w:color="auto"/>
                <w:color w:val="auto"/>
                <w:w w:val="99"/>
              </w:rPr>
              <w:t>$</w:t>
            </w:r>
            <w:r>
              <w:rPr>
                <w:rFonts w:ascii="Times New Roman" w:cs="Times New Roman" w:eastAsia="Times New Roman" w:hAnsi="Times New Roman"/>
                <w:sz w:val="14"/>
                <w:szCs w:val="14"/>
                <w:b w:val="1"/>
                <w:bCs w:val="1"/>
                <w:color w:val="auto"/>
                <w:w w:val="99"/>
              </w:rPr>
              <w:t>1,800.00</w:t>
            </w:r>
          </w:p>
        </w:tc>
        <w:tc>
          <w:tcPr>
            <w:tcW w:w="160" w:type="dxa"/>
            <w:vAlign w:val="bottom"/>
          </w:tcPr>
          <w:p>
            <w:pPr>
              <w:spacing w:after="0"/>
              <w:rPr>
                <w:sz w:val="12"/>
                <w:szCs w:val="12"/>
                <w:color w:val="auto"/>
              </w:rPr>
            </w:pPr>
          </w:p>
        </w:tc>
        <w:tc>
          <w:tcPr>
            <w:tcW w:w="580" w:type="dxa"/>
            <w:vAlign w:val="bottom"/>
          </w:tcPr>
          <w:p>
            <w:pPr>
              <w:jc w:val="right"/>
              <w:spacing w:after="0" w:line="129" w:lineRule="exact"/>
              <w:rPr>
                <w:sz w:val="20"/>
                <w:szCs w:val="20"/>
                <w:color w:val="auto"/>
              </w:rPr>
            </w:pPr>
            <w:r>
              <w:rPr>
                <w:rFonts w:ascii="Times New Roman" w:cs="Times New Roman" w:eastAsia="Times New Roman" w:hAnsi="Times New Roman"/>
                <w:sz w:val="14"/>
                <w:szCs w:val="14"/>
                <w:b w:val="1"/>
                <w:bCs w:val="1"/>
                <w:u w:val="single" w:color="auto"/>
                <w:color w:val="auto"/>
                <w:w w:val="99"/>
              </w:rPr>
              <w:t>$</w:t>
            </w:r>
            <w:r>
              <w:rPr>
                <w:rFonts w:ascii="Times New Roman" w:cs="Times New Roman" w:eastAsia="Times New Roman" w:hAnsi="Times New Roman"/>
                <w:sz w:val="14"/>
                <w:szCs w:val="14"/>
                <w:b w:val="1"/>
                <w:bCs w:val="1"/>
                <w:color w:val="auto"/>
                <w:w w:val="99"/>
              </w:rPr>
              <w:t>2,043.32</w:t>
            </w:r>
          </w:p>
        </w:tc>
        <w:tc>
          <w:tcPr>
            <w:tcW w:w="160" w:type="dxa"/>
            <w:vAlign w:val="bottom"/>
          </w:tcPr>
          <w:p>
            <w:pPr>
              <w:spacing w:after="0"/>
              <w:rPr>
                <w:sz w:val="12"/>
                <w:szCs w:val="12"/>
                <w:color w:val="auto"/>
              </w:rPr>
            </w:pPr>
          </w:p>
        </w:tc>
        <w:tc>
          <w:tcPr>
            <w:tcW w:w="580" w:type="dxa"/>
            <w:vAlign w:val="bottom"/>
          </w:tcPr>
          <w:p>
            <w:pPr>
              <w:jc w:val="right"/>
              <w:spacing w:after="0" w:line="129" w:lineRule="exact"/>
              <w:rPr>
                <w:sz w:val="20"/>
                <w:szCs w:val="20"/>
                <w:color w:val="auto"/>
              </w:rPr>
            </w:pPr>
            <w:r>
              <w:rPr>
                <w:rFonts w:ascii="Times New Roman" w:cs="Times New Roman" w:eastAsia="Times New Roman" w:hAnsi="Times New Roman"/>
                <w:sz w:val="14"/>
                <w:szCs w:val="14"/>
                <w:b w:val="1"/>
                <w:bCs w:val="1"/>
                <w:u w:val="single" w:color="auto"/>
                <w:color w:val="auto"/>
                <w:w w:val="99"/>
              </w:rPr>
              <w:t>$</w:t>
            </w:r>
            <w:r>
              <w:rPr>
                <w:rFonts w:ascii="Times New Roman" w:cs="Times New Roman" w:eastAsia="Times New Roman" w:hAnsi="Times New Roman"/>
                <w:sz w:val="14"/>
                <w:szCs w:val="14"/>
                <w:b w:val="1"/>
                <w:bCs w:val="1"/>
                <w:color w:val="auto"/>
                <w:w w:val="99"/>
              </w:rPr>
              <w:t>2,300.00</w:t>
            </w:r>
          </w:p>
        </w:tc>
        <w:tc>
          <w:tcPr>
            <w:tcW w:w="60" w:type="dxa"/>
            <w:vAlign w:val="bottom"/>
          </w:tcPr>
          <w:p>
            <w:pPr>
              <w:spacing w:after="0"/>
              <w:rPr>
                <w:sz w:val="12"/>
                <w:szCs w:val="12"/>
                <w:color w:val="auto"/>
              </w:rPr>
            </w:pPr>
          </w:p>
        </w:tc>
        <w:tc>
          <w:tcPr>
            <w:tcW w:w="680" w:type="dxa"/>
            <w:vAlign w:val="bottom"/>
            <w:gridSpan w:val="2"/>
          </w:tcPr>
          <w:p>
            <w:pPr>
              <w:jc w:val="right"/>
              <w:spacing w:after="0" w:line="129" w:lineRule="exact"/>
              <w:rPr>
                <w:sz w:val="20"/>
                <w:szCs w:val="20"/>
                <w:color w:val="auto"/>
              </w:rPr>
            </w:pPr>
            <w:r>
              <w:rPr>
                <w:rFonts w:ascii="Times New Roman" w:cs="Times New Roman" w:eastAsia="Times New Roman" w:hAnsi="Times New Roman"/>
                <w:sz w:val="14"/>
                <w:szCs w:val="14"/>
                <w:b w:val="1"/>
                <w:bCs w:val="1"/>
                <w:u w:val="single" w:color="auto"/>
                <w:color w:val="auto"/>
              </w:rPr>
              <w:t>$</w:t>
            </w:r>
            <w:r>
              <w:rPr>
                <w:rFonts w:ascii="Times New Roman" w:cs="Times New Roman" w:eastAsia="Times New Roman" w:hAnsi="Times New Roman"/>
                <w:sz w:val="14"/>
                <w:szCs w:val="14"/>
                <w:b w:val="1"/>
                <w:bCs w:val="1"/>
                <w:color w:val="auto"/>
              </w:rPr>
              <w:t>2,656.31</w:t>
            </w:r>
          </w:p>
        </w:tc>
        <w:tc>
          <w:tcPr>
            <w:tcW w:w="160" w:type="dxa"/>
            <w:vAlign w:val="bottom"/>
          </w:tcPr>
          <w:p>
            <w:pPr>
              <w:spacing w:after="0"/>
              <w:rPr>
                <w:sz w:val="12"/>
                <w:szCs w:val="12"/>
                <w:color w:val="auto"/>
              </w:rPr>
            </w:pPr>
          </w:p>
        </w:tc>
        <w:tc>
          <w:tcPr>
            <w:tcW w:w="580" w:type="dxa"/>
            <w:vAlign w:val="bottom"/>
          </w:tcPr>
          <w:p>
            <w:pPr>
              <w:jc w:val="right"/>
              <w:spacing w:after="0" w:line="129" w:lineRule="exact"/>
              <w:rPr>
                <w:sz w:val="20"/>
                <w:szCs w:val="20"/>
                <w:color w:val="auto"/>
              </w:rPr>
            </w:pPr>
            <w:r>
              <w:rPr>
                <w:rFonts w:ascii="Times New Roman" w:cs="Times New Roman" w:eastAsia="Times New Roman" w:hAnsi="Times New Roman"/>
                <w:sz w:val="14"/>
                <w:szCs w:val="14"/>
                <w:b w:val="1"/>
                <w:bCs w:val="1"/>
                <w:u w:val="single" w:color="auto"/>
                <w:color w:val="auto"/>
                <w:w w:val="99"/>
              </w:rPr>
              <w:t>$</w:t>
            </w:r>
            <w:r>
              <w:rPr>
                <w:rFonts w:ascii="Times New Roman" w:cs="Times New Roman" w:eastAsia="Times New Roman" w:hAnsi="Times New Roman"/>
                <w:sz w:val="14"/>
                <w:szCs w:val="14"/>
                <w:b w:val="1"/>
                <w:bCs w:val="1"/>
                <w:color w:val="auto"/>
                <w:w w:val="99"/>
              </w:rPr>
              <w:t>3,000.00</w:t>
            </w:r>
          </w:p>
        </w:tc>
        <w:tc>
          <w:tcPr>
            <w:tcW w:w="160" w:type="dxa"/>
            <w:vAlign w:val="bottom"/>
          </w:tcPr>
          <w:p>
            <w:pPr>
              <w:spacing w:after="0"/>
              <w:rPr>
                <w:sz w:val="12"/>
                <w:szCs w:val="12"/>
                <w:color w:val="auto"/>
              </w:rPr>
            </w:pPr>
          </w:p>
        </w:tc>
        <w:tc>
          <w:tcPr>
            <w:tcW w:w="580" w:type="dxa"/>
            <w:vAlign w:val="bottom"/>
          </w:tcPr>
          <w:p>
            <w:pPr>
              <w:jc w:val="right"/>
              <w:spacing w:after="0" w:line="129" w:lineRule="exact"/>
              <w:rPr>
                <w:sz w:val="20"/>
                <w:szCs w:val="20"/>
                <w:color w:val="auto"/>
              </w:rPr>
            </w:pPr>
            <w:r>
              <w:rPr>
                <w:rFonts w:ascii="Times New Roman" w:cs="Times New Roman" w:eastAsia="Times New Roman" w:hAnsi="Times New Roman"/>
                <w:sz w:val="14"/>
                <w:szCs w:val="14"/>
                <w:b w:val="1"/>
                <w:bCs w:val="1"/>
                <w:u w:val="single" w:color="auto"/>
                <w:color w:val="auto"/>
                <w:w w:val="99"/>
              </w:rPr>
              <w:t>$</w:t>
            </w:r>
            <w:r>
              <w:rPr>
                <w:rFonts w:ascii="Times New Roman" w:cs="Times New Roman" w:eastAsia="Times New Roman" w:hAnsi="Times New Roman"/>
                <w:sz w:val="14"/>
                <w:szCs w:val="14"/>
                <w:b w:val="1"/>
                <w:bCs w:val="1"/>
                <w:color w:val="auto"/>
                <w:w w:val="99"/>
              </w:rPr>
              <w:t>4,000.00</w:t>
            </w:r>
          </w:p>
        </w:tc>
        <w:tc>
          <w:tcPr>
            <w:tcW w:w="160" w:type="dxa"/>
            <w:vAlign w:val="bottom"/>
          </w:tcPr>
          <w:p>
            <w:pPr>
              <w:spacing w:after="0"/>
              <w:rPr>
                <w:sz w:val="12"/>
                <w:szCs w:val="12"/>
                <w:color w:val="auto"/>
              </w:rPr>
            </w:pPr>
          </w:p>
        </w:tc>
        <w:tc>
          <w:tcPr>
            <w:tcW w:w="580" w:type="dxa"/>
            <w:vAlign w:val="bottom"/>
          </w:tcPr>
          <w:p>
            <w:pPr>
              <w:ind w:left="20"/>
              <w:spacing w:after="0" w:line="129" w:lineRule="exact"/>
              <w:rPr>
                <w:sz w:val="20"/>
                <w:szCs w:val="20"/>
                <w:color w:val="auto"/>
              </w:rPr>
            </w:pPr>
            <w:r>
              <w:rPr>
                <w:rFonts w:ascii="Times New Roman" w:cs="Times New Roman" w:eastAsia="Times New Roman" w:hAnsi="Times New Roman"/>
                <w:sz w:val="14"/>
                <w:szCs w:val="14"/>
                <w:b w:val="1"/>
                <w:bCs w:val="1"/>
                <w:u w:val="single" w:color="auto"/>
                <w:color w:val="auto"/>
                <w:w w:val="96"/>
              </w:rPr>
              <w:t>$</w:t>
            </w:r>
            <w:r>
              <w:rPr>
                <w:rFonts w:ascii="Times New Roman" w:cs="Times New Roman" w:eastAsia="Times New Roman" w:hAnsi="Times New Roman"/>
                <w:sz w:val="14"/>
                <w:szCs w:val="14"/>
                <w:b w:val="1"/>
                <w:bCs w:val="1"/>
                <w:color w:val="auto"/>
                <w:w w:val="96"/>
              </w:rPr>
              <w:t>7,000.00</w:t>
            </w:r>
          </w:p>
        </w:tc>
        <w:tc>
          <w:tcPr>
            <w:tcW w:w="160" w:type="dxa"/>
            <w:vAlign w:val="bottom"/>
          </w:tcPr>
          <w:p>
            <w:pPr>
              <w:spacing w:after="0"/>
              <w:rPr>
                <w:sz w:val="12"/>
                <w:szCs w:val="12"/>
                <w:color w:val="auto"/>
              </w:rPr>
            </w:pPr>
          </w:p>
        </w:tc>
        <w:tc>
          <w:tcPr>
            <w:tcW w:w="660" w:type="dxa"/>
            <w:vAlign w:val="bottom"/>
          </w:tcPr>
          <w:p>
            <w:pPr>
              <w:jc w:val="right"/>
              <w:spacing w:after="0" w:line="129" w:lineRule="exact"/>
              <w:rPr>
                <w:sz w:val="20"/>
                <w:szCs w:val="20"/>
                <w:color w:val="auto"/>
              </w:rPr>
            </w:pPr>
            <w:r>
              <w:rPr>
                <w:rFonts w:ascii="Times New Roman" w:cs="Times New Roman" w:eastAsia="Times New Roman" w:hAnsi="Times New Roman"/>
                <w:sz w:val="14"/>
                <w:szCs w:val="14"/>
                <w:b w:val="1"/>
                <w:bCs w:val="1"/>
                <w:u w:val="single" w:color="auto"/>
                <w:color w:val="auto"/>
              </w:rPr>
              <w:t>$</w:t>
            </w:r>
            <w:r>
              <w:rPr>
                <w:rFonts w:ascii="Times New Roman" w:cs="Times New Roman" w:eastAsia="Times New Roman" w:hAnsi="Times New Roman"/>
                <w:sz w:val="14"/>
                <w:szCs w:val="14"/>
                <w:b w:val="1"/>
                <w:bCs w:val="1"/>
                <w:color w:val="auto"/>
              </w:rPr>
              <w:t>10,000.00</w:t>
            </w:r>
          </w:p>
        </w:tc>
        <w:tc>
          <w:tcPr>
            <w:tcW w:w="6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203"/>
        </w:trPr>
        <w:tc>
          <w:tcPr>
            <w:tcW w:w="4360" w:type="dxa"/>
            <w:vAlign w:val="bottom"/>
            <w:tcBorders>
              <w:top w:val="single" w:sz="8" w:color="CCEEFF"/>
            </w:tcBorders>
            <w:gridSpan w:val="2"/>
            <w:shd w:val="clear" w:color="auto" w:fill="CCEEFF"/>
          </w:tcPr>
          <w:p>
            <w:pPr>
              <w:spacing w:after="0" w:line="203" w:lineRule="exact"/>
              <w:rPr>
                <w:sz w:val="20"/>
                <w:szCs w:val="20"/>
                <w:color w:val="auto"/>
              </w:rPr>
            </w:pPr>
            <w:r>
              <w:rPr>
                <w:rFonts w:ascii="Times New Roman" w:cs="Times New Roman" w:eastAsia="Times New Roman" w:hAnsi="Times New Roman"/>
                <w:sz w:val="18"/>
                <w:szCs w:val="18"/>
                <w:color w:val="auto"/>
              </w:rPr>
              <w:t>June 17, 2024</w:t>
            </w:r>
          </w:p>
        </w:tc>
        <w:tc>
          <w:tcPr>
            <w:tcW w:w="600" w:type="dxa"/>
            <w:vAlign w:val="bottom"/>
            <w:tcBorders>
              <w:top w:val="single" w:sz="8" w:color="auto"/>
            </w:tcBorders>
            <w:shd w:val="clear" w:color="auto" w:fill="CCEEFF"/>
          </w:tcPr>
          <w:p>
            <w:pPr>
              <w:jc w:val="right"/>
              <w:spacing w:after="0" w:line="203" w:lineRule="exact"/>
              <w:rPr>
                <w:sz w:val="20"/>
                <w:szCs w:val="20"/>
                <w:color w:val="auto"/>
              </w:rPr>
            </w:pPr>
            <w:r>
              <w:rPr>
                <w:rFonts w:ascii="Times New Roman" w:cs="Times New Roman" w:eastAsia="Times New Roman" w:hAnsi="Times New Roman"/>
                <w:sz w:val="18"/>
                <w:szCs w:val="18"/>
                <w:color w:val="auto"/>
              </w:rPr>
              <w:t>0.1713</w:t>
            </w:r>
          </w:p>
        </w:tc>
        <w:tc>
          <w:tcPr>
            <w:tcW w:w="160" w:type="dxa"/>
            <w:vAlign w:val="bottom"/>
            <w:tcBorders>
              <w:top w:val="single" w:sz="8" w:color="CCEEFF"/>
            </w:tcBorders>
            <w:shd w:val="clear" w:color="auto" w:fill="CCEEFF"/>
          </w:tcPr>
          <w:p>
            <w:pPr>
              <w:spacing w:after="0"/>
              <w:rPr>
                <w:sz w:val="17"/>
                <w:szCs w:val="17"/>
                <w:color w:val="auto"/>
              </w:rPr>
            </w:pPr>
          </w:p>
        </w:tc>
        <w:tc>
          <w:tcPr>
            <w:tcW w:w="580" w:type="dxa"/>
            <w:vAlign w:val="bottom"/>
            <w:tcBorders>
              <w:top w:val="single" w:sz="8" w:color="auto"/>
            </w:tcBorders>
            <w:shd w:val="clear" w:color="auto" w:fill="CCEEFF"/>
          </w:tcPr>
          <w:p>
            <w:pPr>
              <w:jc w:val="right"/>
              <w:spacing w:after="0" w:line="203" w:lineRule="exact"/>
              <w:rPr>
                <w:sz w:val="20"/>
                <w:szCs w:val="20"/>
                <w:color w:val="auto"/>
              </w:rPr>
            </w:pPr>
            <w:r>
              <w:rPr>
                <w:rFonts w:ascii="Times New Roman" w:cs="Times New Roman" w:eastAsia="Times New Roman" w:hAnsi="Times New Roman"/>
                <w:sz w:val="18"/>
                <w:szCs w:val="18"/>
                <w:color w:val="auto"/>
              </w:rPr>
              <w:t>0.1317</w:t>
            </w:r>
          </w:p>
        </w:tc>
        <w:tc>
          <w:tcPr>
            <w:tcW w:w="160" w:type="dxa"/>
            <w:vAlign w:val="bottom"/>
            <w:tcBorders>
              <w:top w:val="single" w:sz="8" w:color="CCEEFF"/>
            </w:tcBorders>
            <w:shd w:val="clear" w:color="auto" w:fill="CCEEFF"/>
          </w:tcPr>
          <w:p>
            <w:pPr>
              <w:spacing w:after="0"/>
              <w:rPr>
                <w:sz w:val="17"/>
                <w:szCs w:val="17"/>
                <w:color w:val="auto"/>
              </w:rPr>
            </w:pPr>
          </w:p>
        </w:tc>
        <w:tc>
          <w:tcPr>
            <w:tcW w:w="580" w:type="dxa"/>
            <w:vAlign w:val="bottom"/>
            <w:tcBorders>
              <w:top w:val="single" w:sz="8" w:color="auto"/>
            </w:tcBorders>
            <w:shd w:val="clear" w:color="auto" w:fill="CCEEFF"/>
          </w:tcPr>
          <w:p>
            <w:pPr>
              <w:jc w:val="right"/>
              <w:spacing w:after="0" w:line="203" w:lineRule="exact"/>
              <w:rPr>
                <w:sz w:val="20"/>
                <w:szCs w:val="20"/>
                <w:color w:val="auto"/>
              </w:rPr>
            </w:pPr>
            <w:r>
              <w:rPr>
                <w:rFonts w:ascii="Times New Roman" w:cs="Times New Roman" w:eastAsia="Times New Roman" w:hAnsi="Times New Roman"/>
                <w:sz w:val="18"/>
                <w:szCs w:val="18"/>
                <w:color w:val="auto"/>
              </w:rPr>
              <w:t>0.1079</w:t>
            </w:r>
          </w:p>
        </w:tc>
        <w:tc>
          <w:tcPr>
            <w:tcW w:w="160" w:type="dxa"/>
            <w:vAlign w:val="bottom"/>
            <w:tcBorders>
              <w:top w:val="single" w:sz="8" w:color="CCEEFF"/>
            </w:tcBorders>
            <w:shd w:val="clear" w:color="auto" w:fill="CCEEFF"/>
          </w:tcPr>
          <w:p>
            <w:pPr>
              <w:spacing w:after="0"/>
              <w:rPr>
                <w:sz w:val="17"/>
                <w:szCs w:val="17"/>
                <w:color w:val="auto"/>
              </w:rPr>
            </w:pPr>
          </w:p>
        </w:tc>
        <w:tc>
          <w:tcPr>
            <w:tcW w:w="580" w:type="dxa"/>
            <w:vAlign w:val="bottom"/>
            <w:tcBorders>
              <w:top w:val="single" w:sz="8" w:color="auto"/>
            </w:tcBorders>
            <w:shd w:val="clear" w:color="auto" w:fill="CCEEFF"/>
          </w:tcPr>
          <w:p>
            <w:pPr>
              <w:jc w:val="right"/>
              <w:spacing w:after="0" w:line="203" w:lineRule="exact"/>
              <w:rPr>
                <w:sz w:val="20"/>
                <w:szCs w:val="20"/>
                <w:color w:val="auto"/>
              </w:rPr>
            </w:pPr>
            <w:r>
              <w:rPr>
                <w:rFonts w:ascii="Times New Roman" w:cs="Times New Roman" w:eastAsia="Times New Roman" w:hAnsi="Times New Roman"/>
                <w:sz w:val="18"/>
                <w:szCs w:val="18"/>
                <w:color w:val="auto"/>
              </w:rPr>
              <w:t>0.0892</w:t>
            </w:r>
          </w:p>
        </w:tc>
        <w:tc>
          <w:tcPr>
            <w:tcW w:w="60" w:type="dxa"/>
            <w:vAlign w:val="bottom"/>
            <w:tcBorders>
              <w:top w:val="single" w:sz="8" w:color="CCEEFF"/>
            </w:tcBorders>
            <w:shd w:val="clear" w:color="auto" w:fill="CCEEFF"/>
          </w:tcPr>
          <w:p>
            <w:pPr>
              <w:spacing w:after="0"/>
              <w:rPr>
                <w:sz w:val="17"/>
                <w:szCs w:val="17"/>
                <w:color w:val="auto"/>
              </w:rPr>
            </w:pPr>
          </w:p>
        </w:tc>
        <w:tc>
          <w:tcPr>
            <w:tcW w:w="100" w:type="dxa"/>
            <w:vAlign w:val="bottom"/>
            <w:tcBorders>
              <w:top w:val="single" w:sz="8" w:color="CCEEFF"/>
            </w:tcBorders>
            <w:shd w:val="clear" w:color="auto" w:fill="CCEEFF"/>
          </w:tcPr>
          <w:p>
            <w:pPr>
              <w:spacing w:after="0"/>
              <w:rPr>
                <w:sz w:val="17"/>
                <w:szCs w:val="17"/>
                <w:color w:val="auto"/>
              </w:rPr>
            </w:pPr>
          </w:p>
        </w:tc>
        <w:tc>
          <w:tcPr>
            <w:tcW w:w="580" w:type="dxa"/>
            <w:vAlign w:val="bottom"/>
            <w:tcBorders>
              <w:top w:val="single" w:sz="8" w:color="auto"/>
            </w:tcBorders>
            <w:shd w:val="clear" w:color="auto" w:fill="CCEEFF"/>
          </w:tcPr>
          <w:p>
            <w:pPr>
              <w:jc w:val="right"/>
              <w:spacing w:after="0" w:line="203" w:lineRule="exact"/>
              <w:rPr>
                <w:sz w:val="20"/>
                <w:szCs w:val="20"/>
                <w:color w:val="auto"/>
              </w:rPr>
            </w:pPr>
            <w:r>
              <w:rPr>
                <w:rFonts w:ascii="Times New Roman" w:cs="Times New Roman" w:eastAsia="Times New Roman" w:hAnsi="Times New Roman"/>
                <w:sz w:val="18"/>
                <w:szCs w:val="18"/>
                <w:color w:val="auto"/>
              </w:rPr>
              <w:t>0.0703</w:t>
            </w:r>
          </w:p>
        </w:tc>
        <w:tc>
          <w:tcPr>
            <w:tcW w:w="160" w:type="dxa"/>
            <w:vAlign w:val="bottom"/>
            <w:tcBorders>
              <w:top w:val="single" w:sz="8" w:color="CCEEFF"/>
            </w:tcBorders>
            <w:shd w:val="clear" w:color="auto" w:fill="CCEEFF"/>
          </w:tcPr>
          <w:p>
            <w:pPr>
              <w:spacing w:after="0"/>
              <w:rPr>
                <w:sz w:val="17"/>
                <w:szCs w:val="17"/>
                <w:color w:val="auto"/>
              </w:rPr>
            </w:pPr>
          </w:p>
        </w:tc>
        <w:tc>
          <w:tcPr>
            <w:tcW w:w="580" w:type="dxa"/>
            <w:vAlign w:val="bottom"/>
            <w:tcBorders>
              <w:top w:val="single" w:sz="8" w:color="auto"/>
            </w:tcBorders>
            <w:shd w:val="clear" w:color="auto" w:fill="CCEEFF"/>
          </w:tcPr>
          <w:p>
            <w:pPr>
              <w:jc w:val="right"/>
              <w:spacing w:after="0" w:line="203" w:lineRule="exact"/>
              <w:rPr>
                <w:sz w:val="20"/>
                <w:szCs w:val="20"/>
                <w:color w:val="auto"/>
              </w:rPr>
            </w:pPr>
            <w:r>
              <w:rPr>
                <w:rFonts w:ascii="Times New Roman" w:cs="Times New Roman" w:eastAsia="Times New Roman" w:hAnsi="Times New Roman"/>
                <w:sz w:val="18"/>
                <w:szCs w:val="18"/>
                <w:color w:val="auto"/>
              </w:rPr>
              <w:t>0.0570</w:t>
            </w:r>
          </w:p>
        </w:tc>
        <w:tc>
          <w:tcPr>
            <w:tcW w:w="160" w:type="dxa"/>
            <w:vAlign w:val="bottom"/>
            <w:tcBorders>
              <w:top w:val="single" w:sz="8" w:color="CCEEFF"/>
            </w:tcBorders>
            <w:shd w:val="clear" w:color="auto" w:fill="CCEEFF"/>
          </w:tcPr>
          <w:p>
            <w:pPr>
              <w:spacing w:after="0"/>
              <w:rPr>
                <w:sz w:val="17"/>
                <w:szCs w:val="17"/>
                <w:color w:val="auto"/>
              </w:rPr>
            </w:pPr>
          </w:p>
        </w:tc>
        <w:tc>
          <w:tcPr>
            <w:tcW w:w="580" w:type="dxa"/>
            <w:vAlign w:val="bottom"/>
            <w:tcBorders>
              <w:top w:val="single" w:sz="8" w:color="auto"/>
            </w:tcBorders>
            <w:shd w:val="clear" w:color="auto" w:fill="CCEEFF"/>
          </w:tcPr>
          <w:p>
            <w:pPr>
              <w:jc w:val="right"/>
              <w:spacing w:after="0" w:line="203" w:lineRule="exact"/>
              <w:rPr>
                <w:sz w:val="20"/>
                <w:szCs w:val="20"/>
                <w:color w:val="auto"/>
              </w:rPr>
            </w:pPr>
            <w:r>
              <w:rPr>
                <w:rFonts w:ascii="Times New Roman" w:cs="Times New Roman" w:eastAsia="Times New Roman" w:hAnsi="Times New Roman"/>
                <w:sz w:val="18"/>
                <w:szCs w:val="18"/>
                <w:color w:val="auto"/>
              </w:rPr>
              <w:t>0.0338</w:t>
            </w:r>
          </w:p>
        </w:tc>
        <w:tc>
          <w:tcPr>
            <w:tcW w:w="160" w:type="dxa"/>
            <w:vAlign w:val="bottom"/>
            <w:tcBorders>
              <w:top w:val="single" w:sz="8" w:color="CCEEFF"/>
            </w:tcBorders>
            <w:shd w:val="clear" w:color="auto" w:fill="CCEEFF"/>
          </w:tcPr>
          <w:p>
            <w:pPr>
              <w:spacing w:after="0"/>
              <w:rPr>
                <w:sz w:val="17"/>
                <w:szCs w:val="17"/>
                <w:color w:val="auto"/>
              </w:rPr>
            </w:pPr>
          </w:p>
        </w:tc>
        <w:tc>
          <w:tcPr>
            <w:tcW w:w="580" w:type="dxa"/>
            <w:vAlign w:val="bottom"/>
            <w:tcBorders>
              <w:top w:val="single" w:sz="8" w:color="auto"/>
            </w:tcBorders>
            <w:shd w:val="clear" w:color="auto" w:fill="CCEEFF"/>
          </w:tcPr>
          <w:p>
            <w:pPr>
              <w:ind w:left="100"/>
              <w:spacing w:after="0" w:line="203" w:lineRule="exact"/>
              <w:rPr>
                <w:sz w:val="20"/>
                <w:szCs w:val="20"/>
                <w:color w:val="auto"/>
              </w:rPr>
            </w:pPr>
            <w:r>
              <w:rPr>
                <w:rFonts w:ascii="Times New Roman" w:cs="Times New Roman" w:eastAsia="Times New Roman" w:hAnsi="Times New Roman"/>
                <w:sz w:val="18"/>
                <w:szCs w:val="18"/>
                <w:color w:val="auto"/>
                <w:w w:val="92"/>
              </w:rPr>
              <w:t>0.0101</w:t>
            </w:r>
          </w:p>
        </w:tc>
        <w:tc>
          <w:tcPr>
            <w:tcW w:w="160" w:type="dxa"/>
            <w:vAlign w:val="bottom"/>
            <w:tcBorders>
              <w:top w:val="single" w:sz="8" w:color="CCEEFF"/>
            </w:tcBorders>
            <w:shd w:val="clear" w:color="auto" w:fill="CCEEFF"/>
          </w:tcPr>
          <w:p>
            <w:pPr>
              <w:spacing w:after="0"/>
              <w:rPr>
                <w:sz w:val="17"/>
                <w:szCs w:val="17"/>
                <w:color w:val="auto"/>
              </w:rPr>
            </w:pPr>
          </w:p>
        </w:tc>
        <w:tc>
          <w:tcPr>
            <w:tcW w:w="660" w:type="dxa"/>
            <w:vAlign w:val="bottom"/>
            <w:tcBorders>
              <w:top w:val="single" w:sz="8" w:color="auto"/>
            </w:tcBorders>
            <w:shd w:val="clear" w:color="auto" w:fill="CCEEFF"/>
          </w:tcPr>
          <w:p>
            <w:pPr>
              <w:jc w:val="right"/>
              <w:spacing w:after="0" w:line="203" w:lineRule="exact"/>
              <w:rPr>
                <w:sz w:val="20"/>
                <w:szCs w:val="20"/>
                <w:color w:val="auto"/>
              </w:rPr>
            </w:pPr>
            <w:r>
              <w:rPr>
                <w:rFonts w:ascii="Times New Roman" w:cs="Times New Roman" w:eastAsia="Times New Roman" w:hAnsi="Times New Roman"/>
                <w:sz w:val="18"/>
                <w:szCs w:val="18"/>
                <w:color w:val="auto"/>
              </w:rPr>
              <w:t>0.0035</w:t>
            </w:r>
          </w:p>
        </w:tc>
        <w:tc>
          <w:tcPr>
            <w:tcW w:w="60" w:type="dxa"/>
            <w:vAlign w:val="bottom"/>
            <w:tcBorders>
              <w:top w:val="single" w:sz="8" w:color="CCEEFF"/>
            </w:tcBorders>
            <w:shd w:val="clear" w:color="auto" w:fill="CCEEFF"/>
          </w:tcPr>
          <w:p>
            <w:pPr>
              <w:spacing w:after="0"/>
              <w:rPr>
                <w:sz w:val="17"/>
                <w:szCs w:val="17"/>
                <w:color w:val="auto"/>
              </w:rPr>
            </w:pPr>
          </w:p>
        </w:tc>
        <w:tc>
          <w:tcPr>
            <w:tcW w:w="0" w:type="dxa"/>
            <w:vAlign w:val="bottom"/>
          </w:tcPr>
          <w:p>
            <w:pPr>
              <w:spacing w:after="0"/>
              <w:rPr>
                <w:sz w:val="1"/>
                <w:szCs w:val="1"/>
                <w:color w:val="auto"/>
              </w:rPr>
            </w:pPr>
          </w:p>
        </w:tc>
      </w:tr>
      <w:tr>
        <w:trPr>
          <w:trHeight w:val="216"/>
        </w:trPr>
        <w:tc>
          <w:tcPr>
            <w:tcW w:w="43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June 15, 2025</w:t>
            </w:r>
          </w:p>
        </w:tc>
        <w:tc>
          <w:tcPr>
            <w:tcW w:w="76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0.1713</w:t>
            </w:r>
          </w:p>
        </w:tc>
        <w:tc>
          <w:tcPr>
            <w:tcW w:w="7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0.1317</w:t>
            </w:r>
          </w:p>
        </w:tc>
        <w:tc>
          <w:tcPr>
            <w:tcW w:w="7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0.1079</w:t>
            </w:r>
          </w:p>
        </w:tc>
        <w:tc>
          <w:tcPr>
            <w:tcW w:w="64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0.0892</w:t>
            </w:r>
          </w:p>
        </w:tc>
        <w:tc>
          <w:tcPr>
            <w:tcW w:w="840" w:type="dxa"/>
            <w:vAlign w:val="bottom"/>
            <w:gridSpan w:val="3"/>
          </w:tcPr>
          <w:p>
            <w:pPr>
              <w:jc w:val="right"/>
              <w:ind w:right="160"/>
              <w:spacing w:after="0"/>
              <w:rPr>
                <w:sz w:val="20"/>
                <w:szCs w:val="20"/>
                <w:color w:val="auto"/>
              </w:rPr>
            </w:pPr>
            <w:r>
              <w:rPr>
                <w:rFonts w:ascii="Times New Roman" w:cs="Times New Roman" w:eastAsia="Times New Roman" w:hAnsi="Times New Roman"/>
                <w:sz w:val="18"/>
                <w:szCs w:val="18"/>
                <w:color w:val="auto"/>
              </w:rPr>
              <w:t>0.0703</w:t>
            </w:r>
          </w:p>
        </w:tc>
        <w:tc>
          <w:tcPr>
            <w:tcW w:w="7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0.0570</w:t>
            </w:r>
          </w:p>
        </w:tc>
        <w:tc>
          <w:tcPr>
            <w:tcW w:w="7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0.0334</w:t>
            </w:r>
          </w:p>
        </w:tc>
        <w:tc>
          <w:tcPr>
            <w:tcW w:w="740" w:type="dxa"/>
            <w:vAlign w:val="bottom"/>
            <w:gridSpan w:val="2"/>
          </w:tcPr>
          <w:p>
            <w:pPr>
              <w:ind w:left="100"/>
              <w:spacing w:after="0"/>
              <w:rPr>
                <w:sz w:val="20"/>
                <w:szCs w:val="20"/>
                <w:color w:val="auto"/>
              </w:rPr>
            </w:pPr>
            <w:r>
              <w:rPr>
                <w:rFonts w:ascii="Times New Roman" w:cs="Times New Roman" w:eastAsia="Times New Roman" w:hAnsi="Times New Roman"/>
                <w:sz w:val="18"/>
                <w:szCs w:val="18"/>
                <w:color w:val="auto"/>
              </w:rPr>
              <w:t>0.0096</w:t>
            </w:r>
          </w:p>
        </w:tc>
        <w:tc>
          <w:tcPr>
            <w:tcW w:w="72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0.0032</w:t>
            </w:r>
          </w:p>
        </w:tc>
        <w:tc>
          <w:tcPr>
            <w:tcW w:w="0" w:type="dxa"/>
            <w:vAlign w:val="bottom"/>
          </w:tcPr>
          <w:p>
            <w:pPr>
              <w:spacing w:after="0"/>
              <w:rPr>
                <w:sz w:val="1"/>
                <w:szCs w:val="1"/>
                <w:color w:val="auto"/>
              </w:rPr>
            </w:pPr>
          </w:p>
        </w:tc>
      </w:tr>
      <w:tr>
        <w:trPr>
          <w:trHeight w:val="216"/>
        </w:trPr>
        <w:tc>
          <w:tcPr>
            <w:tcW w:w="4360" w:type="dxa"/>
            <w:vAlign w:val="bottom"/>
            <w:gridSpan w:val="2"/>
            <w:shd w:val="clear" w:color="auto" w:fill="CCEEFF"/>
          </w:tcPr>
          <w:p>
            <w:pPr>
              <w:spacing w:after="0"/>
              <w:rPr>
                <w:sz w:val="20"/>
                <w:szCs w:val="20"/>
                <w:color w:val="auto"/>
              </w:rPr>
            </w:pPr>
            <w:r>
              <w:rPr>
                <w:rFonts w:ascii="Times New Roman" w:cs="Times New Roman" w:eastAsia="Times New Roman" w:hAnsi="Times New Roman"/>
                <w:sz w:val="18"/>
                <w:szCs w:val="18"/>
                <w:color w:val="auto"/>
              </w:rPr>
              <w:t>June 15, 2026</w:t>
            </w:r>
          </w:p>
        </w:tc>
        <w:tc>
          <w:tcPr>
            <w:tcW w:w="76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0.1713</w:t>
            </w:r>
          </w:p>
        </w:tc>
        <w:tc>
          <w:tcPr>
            <w:tcW w:w="74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0.1317</w:t>
            </w:r>
          </w:p>
        </w:tc>
        <w:tc>
          <w:tcPr>
            <w:tcW w:w="74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0.1079</w:t>
            </w:r>
          </w:p>
        </w:tc>
        <w:tc>
          <w:tcPr>
            <w:tcW w:w="640" w:type="dxa"/>
            <w:vAlign w:val="bottom"/>
            <w:gridSpan w:val="2"/>
            <w:shd w:val="clear" w:color="auto" w:fill="CCEEFF"/>
          </w:tcPr>
          <w:p>
            <w:pPr>
              <w:jc w:val="right"/>
              <w:ind w:right="60"/>
              <w:spacing w:after="0"/>
              <w:rPr>
                <w:sz w:val="20"/>
                <w:szCs w:val="20"/>
                <w:color w:val="auto"/>
              </w:rPr>
            </w:pPr>
            <w:r>
              <w:rPr>
                <w:rFonts w:ascii="Times New Roman" w:cs="Times New Roman" w:eastAsia="Times New Roman" w:hAnsi="Times New Roman"/>
                <w:sz w:val="18"/>
                <w:szCs w:val="18"/>
                <w:color w:val="auto"/>
              </w:rPr>
              <w:t>0.0892</w:t>
            </w:r>
          </w:p>
        </w:tc>
        <w:tc>
          <w:tcPr>
            <w:tcW w:w="840" w:type="dxa"/>
            <w:vAlign w:val="bottom"/>
            <w:gridSpan w:val="3"/>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0.0703</w:t>
            </w:r>
          </w:p>
        </w:tc>
        <w:tc>
          <w:tcPr>
            <w:tcW w:w="74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0.0560</w:t>
            </w:r>
          </w:p>
        </w:tc>
        <w:tc>
          <w:tcPr>
            <w:tcW w:w="74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0.0314</w:t>
            </w:r>
          </w:p>
        </w:tc>
        <w:tc>
          <w:tcPr>
            <w:tcW w:w="740" w:type="dxa"/>
            <w:vAlign w:val="bottom"/>
            <w:gridSpan w:val="2"/>
            <w:shd w:val="clear" w:color="auto" w:fill="CCEEFF"/>
          </w:tcPr>
          <w:p>
            <w:pPr>
              <w:ind w:left="100"/>
              <w:spacing w:after="0"/>
              <w:rPr>
                <w:sz w:val="20"/>
                <w:szCs w:val="20"/>
                <w:color w:val="auto"/>
              </w:rPr>
            </w:pPr>
            <w:r>
              <w:rPr>
                <w:rFonts w:ascii="Times New Roman" w:cs="Times New Roman" w:eastAsia="Times New Roman" w:hAnsi="Times New Roman"/>
                <w:sz w:val="18"/>
                <w:szCs w:val="18"/>
                <w:color w:val="auto"/>
              </w:rPr>
              <w:t>0.0085</w:t>
            </w:r>
          </w:p>
        </w:tc>
        <w:tc>
          <w:tcPr>
            <w:tcW w:w="720" w:type="dxa"/>
            <w:vAlign w:val="bottom"/>
            <w:gridSpan w:val="2"/>
            <w:shd w:val="clear" w:color="auto" w:fill="CCEEFF"/>
          </w:tcPr>
          <w:p>
            <w:pPr>
              <w:jc w:val="right"/>
              <w:ind w:right="60"/>
              <w:spacing w:after="0"/>
              <w:rPr>
                <w:sz w:val="20"/>
                <w:szCs w:val="20"/>
                <w:color w:val="auto"/>
              </w:rPr>
            </w:pPr>
            <w:r>
              <w:rPr>
                <w:rFonts w:ascii="Times New Roman" w:cs="Times New Roman" w:eastAsia="Times New Roman" w:hAnsi="Times New Roman"/>
                <w:sz w:val="18"/>
                <w:szCs w:val="18"/>
                <w:color w:val="auto"/>
              </w:rPr>
              <w:t>0.0027</w:t>
            </w:r>
          </w:p>
        </w:tc>
        <w:tc>
          <w:tcPr>
            <w:tcW w:w="0" w:type="dxa"/>
            <w:vAlign w:val="bottom"/>
          </w:tcPr>
          <w:p>
            <w:pPr>
              <w:spacing w:after="0"/>
              <w:rPr>
                <w:sz w:val="1"/>
                <w:szCs w:val="1"/>
                <w:color w:val="auto"/>
              </w:rPr>
            </w:pPr>
          </w:p>
        </w:tc>
      </w:tr>
      <w:tr>
        <w:trPr>
          <w:trHeight w:val="216"/>
        </w:trPr>
        <w:tc>
          <w:tcPr>
            <w:tcW w:w="43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June 15, 2027</w:t>
            </w:r>
          </w:p>
        </w:tc>
        <w:tc>
          <w:tcPr>
            <w:tcW w:w="76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0.1713</w:t>
            </w:r>
          </w:p>
        </w:tc>
        <w:tc>
          <w:tcPr>
            <w:tcW w:w="7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0.1317</w:t>
            </w:r>
          </w:p>
        </w:tc>
        <w:tc>
          <w:tcPr>
            <w:tcW w:w="7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0.1079</w:t>
            </w:r>
          </w:p>
        </w:tc>
        <w:tc>
          <w:tcPr>
            <w:tcW w:w="64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0.0892</w:t>
            </w:r>
          </w:p>
        </w:tc>
        <w:tc>
          <w:tcPr>
            <w:tcW w:w="840" w:type="dxa"/>
            <w:vAlign w:val="bottom"/>
            <w:gridSpan w:val="3"/>
          </w:tcPr>
          <w:p>
            <w:pPr>
              <w:jc w:val="right"/>
              <w:ind w:right="160"/>
              <w:spacing w:after="0"/>
              <w:rPr>
                <w:sz w:val="20"/>
                <w:szCs w:val="20"/>
                <w:color w:val="auto"/>
              </w:rPr>
            </w:pPr>
            <w:r>
              <w:rPr>
                <w:rFonts w:ascii="Times New Roman" w:cs="Times New Roman" w:eastAsia="Times New Roman" w:hAnsi="Times New Roman"/>
                <w:sz w:val="18"/>
                <w:szCs w:val="18"/>
                <w:color w:val="auto"/>
              </w:rPr>
              <w:t>0.0669</w:t>
            </w:r>
          </w:p>
        </w:tc>
        <w:tc>
          <w:tcPr>
            <w:tcW w:w="7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0.0521</w:t>
            </w:r>
          </w:p>
        </w:tc>
        <w:tc>
          <w:tcPr>
            <w:tcW w:w="7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0.0283</w:t>
            </w:r>
          </w:p>
        </w:tc>
        <w:tc>
          <w:tcPr>
            <w:tcW w:w="740" w:type="dxa"/>
            <w:vAlign w:val="bottom"/>
            <w:gridSpan w:val="2"/>
          </w:tcPr>
          <w:p>
            <w:pPr>
              <w:ind w:left="100"/>
              <w:spacing w:after="0"/>
              <w:rPr>
                <w:sz w:val="20"/>
                <w:szCs w:val="20"/>
                <w:color w:val="auto"/>
              </w:rPr>
            </w:pPr>
            <w:r>
              <w:rPr>
                <w:rFonts w:ascii="Times New Roman" w:cs="Times New Roman" w:eastAsia="Times New Roman" w:hAnsi="Times New Roman"/>
                <w:sz w:val="18"/>
                <w:szCs w:val="18"/>
                <w:color w:val="auto"/>
              </w:rPr>
              <w:t>0.0072</w:t>
            </w:r>
          </w:p>
        </w:tc>
        <w:tc>
          <w:tcPr>
            <w:tcW w:w="72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0.0021</w:t>
            </w:r>
          </w:p>
        </w:tc>
        <w:tc>
          <w:tcPr>
            <w:tcW w:w="0" w:type="dxa"/>
            <w:vAlign w:val="bottom"/>
          </w:tcPr>
          <w:p>
            <w:pPr>
              <w:spacing w:after="0"/>
              <w:rPr>
                <w:sz w:val="1"/>
                <w:szCs w:val="1"/>
                <w:color w:val="auto"/>
              </w:rPr>
            </w:pPr>
          </w:p>
        </w:tc>
      </w:tr>
      <w:tr>
        <w:trPr>
          <w:trHeight w:val="216"/>
        </w:trPr>
        <w:tc>
          <w:tcPr>
            <w:tcW w:w="4360" w:type="dxa"/>
            <w:vAlign w:val="bottom"/>
            <w:gridSpan w:val="2"/>
            <w:shd w:val="clear" w:color="auto" w:fill="CCEEFF"/>
          </w:tcPr>
          <w:p>
            <w:pPr>
              <w:spacing w:after="0"/>
              <w:rPr>
                <w:sz w:val="20"/>
                <w:szCs w:val="20"/>
                <w:color w:val="auto"/>
              </w:rPr>
            </w:pPr>
            <w:r>
              <w:rPr>
                <w:rFonts w:ascii="Times New Roman" w:cs="Times New Roman" w:eastAsia="Times New Roman" w:hAnsi="Times New Roman"/>
                <w:sz w:val="18"/>
                <w:szCs w:val="18"/>
                <w:color w:val="auto"/>
              </w:rPr>
              <w:t>June 15, 2028</w:t>
            </w:r>
          </w:p>
        </w:tc>
        <w:tc>
          <w:tcPr>
            <w:tcW w:w="76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0.1713</w:t>
            </w:r>
          </w:p>
        </w:tc>
        <w:tc>
          <w:tcPr>
            <w:tcW w:w="74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0.1317</w:t>
            </w:r>
          </w:p>
        </w:tc>
        <w:tc>
          <w:tcPr>
            <w:tcW w:w="74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0.1059</w:t>
            </w:r>
          </w:p>
        </w:tc>
        <w:tc>
          <w:tcPr>
            <w:tcW w:w="640" w:type="dxa"/>
            <w:vAlign w:val="bottom"/>
            <w:gridSpan w:val="2"/>
            <w:shd w:val="clear" w:color="auto" w:fill="CCEEFF"/>
          </w:tcPr>
          <w:p>
            <w:pPr>
              <w:jc w:val="right"/>
              <w:ind w:right="60"/>
              <w:spacing w:after="0"/>
              <w:rPr>
                <w:sz w:val="20"/>
                <w:szCs w:val="20"/>
                <w:color w:val="auto"/>
              </w:rPr>
            </w:pPr>
            <w:r>
              <w:rPr>
                <w:rFonts w:ascii="Times New Roman" w:cs="Times New Roman" w:eastAsia="Times New Roman" w:hAnsi="Times New Roman"/>
                <w:sz w:val="18"/>
                <w:szCs w:val="18"/>
                <w:color w:val="auto"/>
              </w:rPr>
              <w:t>0.0821</w:t>
            </w:r>
          </w:p>
        </w:tc>
        <w:tc>
          <w:tcPr>
            <w:tcW w:w="840" w:type="dxa"/>
            <w:vAlign w:val="bottom"/>
            <w:gridSpan w:val="3"/>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0.0601</w:t>
            </w:r>
          </w:p>
        </w:tc>
        <w:tc>
          <w:tcPr>
            <w:tcW w:w="74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0.0461</w:t>
            </w:r>
          </w:p>
        </w:tc>
        <w:tc>
          <w:tcPr>
            <w:tcW w:w="74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0.0241</w:t>
            </w:r>
          </w:p>
        </w:tc>
        <w:tc>
          <w:tcPr>
            <w:tcW w:w="740" w:type="dxa"/>
            <w:vAlign w:val="bottom"/>
            <w:gridSpan w:val="2"/>
            <w:shd w:val="clear" w:color="auto" w:fill="CCEEFF"/>
          </w:tcPr>
          <w:p>
            <w:pPr>
              <w:ind w:left="100"/>
              <w:spacing w:after="0"/>
              <w:rPr>
                <w:sz w:val="20"/>
                <w:szCs w:val="20"/>
                <w:color w:val="auto"/>
              </w:rPr>
            </w:pPr>
            <w:r>
              <w:rPr>
                <w:rFonts w:ascii="Times New Roman" w:cs="Times New Roman" w:eastAsia="Times New Roman" w:hAnsi="Times New Roman"/>
                <w:sz w:val="18"/>
                <w:szCs w:val="18"/>
                <w:color w:val="auto"/>
              </w:rPr>
              <w:t>0.0057</w:t>
            </w:r>
          </w:p>
        </w:tc>
        <w:tc>
          <w:tcPr>
            <w:tcW w:w="720" w:type="dxa"/>
            <w:vAlign w:val="bottom"/>
            <w:gridSpan w:val="2"/>
            <w:shd w:val="clear" w:color="auto" w:fill="CCEEFF"/>
          </w:tcPr>
          <w:p>
            <w:pPr>
              <w:jc w:val="right"/>
              <w:ind w:right="60"/>
              <w:spacing w:after="0"/>
              <w:rPr>
                <w:sz w:val="20"/>
                <w:szCs w:val="20"/>
                <w:color w:val="auto"/>
              </w:rPr>
            </w:pPr>
            <w:r>
              <w:rPr>
                <w:rFonts w:ascii="Times New Roman" w:cs="Times New Roman" w:eastAsia="Times New Roman" w:hAnsi="Times New Roman"/>
                <w:sz w:val="18"/>
                <w:szCs w:val="18"/>
                <w:color w:val="auto"/>
              </w:rPr>
              <w:t>0.0016</w:t>
            </w:r>
          </w:p>
        </w:tc>
        <w:tc>
          <w:tcPr>
            <w:tcW w:w="0" w:type="dxa"/>
            <w:vAlign w:val="bottom"/>
          </w:tcPr>
          <w:p>
            <w:pPr>
              <w:spacing w:after="0"/>
              <w:rPr>
                <w:sz w:val="1"/>
                <w:szCs w:val="1"/>
                <w:color w:val="auto"/>
              </w:rPr>
            </w:pPr>
          </w:p>
        </w:tc>
      </w:tr>
      <w:tr>
        <w:trPr>
          <w:trHeight w:val="216"/>
        </w:trPr>
        <w:tc>
          <w:tcPr>
            <w:tcW w:w="43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June 15, 2029</w:t>
            </w:r>
          </w:p>
        </w:tc>
        <w:tc>
          <w:tcPr>
            <w:tcW w:w="76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0.1713</w:t>
            </w:r>
          </w:p>
        </w:tc>
        <w:tc>
          <w:tcPr>
            <w:tcW w:w="7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0.1190</w:t>
            </w:r>
          </w:p>
        </w:tc>
        <w:tc>
          <w:tcPr>
            <w:tcW w:w="7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0.0915</w:t>
            </w:r>
          </w:p>
        </w:tc>
        <w:tc>
          <w:tcPr>
            <w:tcW w:w="64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0.0709</w:t>
            </w:r>
          </w:p>
        </w:tc>
        <w:tc>
          <w:tcPr>
            <w:tcW w:w="840" w:type="dxa"/>
            <w:vAlign w:val="bottom"/>
            <w:gridSpan w:val="3"/>
          </w:tcPr>
          <w:p>
            <w:pPr>
              <w:jc w:val="right"/>
              <w:ind w:right="160"/>
              <w:spacing w:after="0"/>
              <w:rPr>
                <w:sz w:val="20"/>
                <w:szCs w:val="20"/>
                <w:color w:val="auto"/>
              </w:rPr>
            </w:pPr>
            <w:r>
              <w:rPr>
                <w:rFonts w:ascii="Times New Roman" w:cs="Times New Roman" w:eastAsia="Times New Roman" w:hAnsi="Times New Roman"/>
                <w:sz w:val="18"/>
                <w:szCs w:val="18"/>
                <w:color w:val="auto"/>
              </w:rPr>
              <w:t>0.0514</w:t>
            </w:r>
          </w:p>
        </w:tc>
        <w:tc>
          <w:tcPr>
            <w:tcW w:w="7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0.0388</w:t>
            </w:r>
          </w:p>
        </w:tc>
        <w:tc>
          <w:tcPr>
            <w:tcW w:w="7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0.0193</w:t>
            </w:r>
          </w:p>
        </w:tc>
        <w:tc>
          <w:tcPr>
            <w:tcW w:w="740" w:type="dxa"/>
            <w:vAlign w:val="bottom"/>
            <w:gridSpan w:val="2"/>
          </w:tcPr>
          <w:p>
            <w:pPr>
              <w:ind w:left="100"/>
              <w:spacing w:after="0"/>
              <w:rPr>
                <w:sz w:val="20"/>
                <w:szCs w:val="20"/>
                <w:color w:val="auto"/>
              </w:rPr>
            </w:pPr>
            <w:r>
              <w:rPr>
                <w:rFonts w:ascii="Times New Roman" w:cs="Times New Roman" w:eastAsia="Times New Roman" w:hAnsi="Times New Roman"/>
                <w:sz w:val="18"/>
                <w:szCs w:val="18"/>
                <w:color w:val="auto"/>
              </w:rPr>
              <w:t>0.0040</w:t>
            </w:r>
          </w:p>
        </w:tc>
        <w:tc>
          <w:tcPr>
            <w:tcW w:w="72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0.0009</w:t>
            </w:r>
          </w:p>
        </w:tc>
        <w:tc>
          <w:tcPr>
            <w:tcW w:w="0" w:type="dxa"/>
            <w:vAlign w:val="bottom"/>
          </w:tcPr>
          <w:p>
            <w:pPr>
              <w:spacing w:after="0"/>
              <w:rPr>
                <w:sz w:val="1"/>
                <w:szCs w:val="1"/>
                <w:color w:val="auto"/>
              </w:rPr>
            </w:pPr>
          </w:p>
        </w:tc>
      </w:tr>
      <w:tr>
        <w:trPr>
          <w:trHeight w:val="216"/>
        </w:trPr>
        <w:tc>
          <w:tcPr>
            <w:tcW w:w="4360" w:type="dxa"/>
            <w:vAlign w:val="bottom"/>
            <w:gridSpan w:val="2"/>
            <w:shd w:val="clear" w:color="auto" w:fill="CCEEFF"/>
          </w:tcPr>
          <w:p>
            <w:pPr>
              <w:spacing w:after="0"/>
              <w:rPr>
                <w:sz w:val="20"/>
                <w:szCs w:val="20"/>
                <w:color w:val="auto"/>
              </w:rPr>
            </w:pPr>
            <w:r>
              <w:rPr>
                <w:rFonts w:ascii="Times New Roman" w:cs="Times New Roman" w:eastAsia="Times New Roman" w:hAnsi="Times New Roman"/>
                <w:sz w:val="18"/>
                <w:szCs w:val="18"/>
                <w:color w:val="auto"/>
              </w:rPr>
              <w:t>June 15, 2030</w:t>
            </w:r>
          </w:p>
        </w:tc>
        <w:tc>
          <w:tcPr>
            <w:tcW w:w="76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0.1713</w:t>
            </w:r>
          </w:p>
        </w:tc>
        <w:tc>
          <w:tcPr>
            <w:tcW w:w="74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0.1143</w:t>
            </w:r>
          </w:p>
        </w:tc>
        <w:tc>
          <w:tcPr>
            <w:tcW w:w="74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0.0839</w:t>
            </w:r>
          </w:p>
        </w:tc>
        <w:tc>
          <w:tcPr>
            <w:tcW w:w="640" w:type="dxa"/>
            <w:vAlign w:val="bottom"/>
            <w:gridSpan w:val="2"/>
            <w:shd w:val="clear" w:color="auto" w:fill="CCEEFF"/>
          </w:tcPr>
          <w:p>
            <w:pPr>
              <w:jc w:val="right"/>
              <w:ind w:right="60"/>
              <w:spacing w:after="0"/>
              <w:rPr>
                <w:sz w:val="20"/>
                <w:szCs w:val="20"/>
                <w:color w:val="auto"/>
              </w:rPr>
            </w:pPr>
            <w:r>
              <w:rPr>
                <w:rFonts w:ascii="Times New Roman" w:cs="Times New Roman" w:eastAsia="Times New Roman" w:hAnsi="Times New Roman"/>
                <w:sz w:val="18"/>
                <w:szCs w:val="18"/>
                <w:color w:val="auto"/>
              </w:rPr>
              <w:t>0.0620</w:t>
            </w:r>
          </w:p>
        </w:tc>
        <w:tc>
          <w:tcPr>
            <w:tcW w:w="840" w:type="dxa"/>
            <w:vAlign w:val="bottom"/>
            <w:gridSpan w:val="3"/>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0.0423</w:t>
            </w:r>
          </w:p>
        </w:tc>
        <w:tc>
          <w:tcPr>
            <w:tcW w:w="74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0.0303</w:t>
            </w:r>
          </w:p>
        </w:tc>
        <w:tc>
          <w:tcPr>
            <w:tcW w:w="74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0.0134</w:t>
            </w:r>
          </w:p>
        </w:tc>
        <w:tc>
          <w:tcPr>
            <w:tcW w:w="740" w:type="dxa"/>
            <w:vAlign w:val="bottom"/>
            <w:gridSpan w:val="2"/>
            <w:shd w:val="clear" w:color="auto" w:fill="CCEEFF"/>
          </w:tcPr>
          <w:p>
            <w:pPr>
              <w:ind w:left="100"/>
              <w:spacing w:after="0"/>
              <w:rPr>
                <w:sz w:val="20"/>
                <w:szCs w:val="20"/>
                <w:color w:val="auto"/>
              </w:rPr>
            </w:pPr>
            <w:r>
              <w:rPr>
                <w:rFonts w:ascii="Times New Roman" w:cs="Times New Roman" w:eastAsia="Times New Roman" w:hAnsi="Times New Roman"/>
                <w:sz w:val="18"/>
                <w:szCs w:val="18"/>
                <w:color w:val="auto"/>
              </w:rPr>
              <w:t>0.0023</w:t>
            </w:r>
          </w:p>
        </w:tc>
        <w:tc>
          <w:tcPr>
            <w:tcW w:w="720" w:type="dxa"/>
            <w:vAlign w:val="bottom"/>
            <w:gridSpan w:val="2"/>
            <w:shd w:val="clear" w:color="auto" w:fill="CCEEFF"/>
          </w:tcPr>
          <w:p>
            <w:pPr>
              <w:jc w:val="right"/>
              <w:ind w:right="60"/>
              <w:spacing w:after="0"/>
              <w:rPr>
                <w:sz w:val="20"/>
                <w:szCs w:val="20"/>
                <w:color w:val="auto"/>
              </w:rPr>
            </w:pPr>
            <w:r>
              <w:rPr>
                <w:rFonts w:ascii="Times New Roman" w:cs="Times New Roman" w:eastAsia="Times New Roman" w:hAnsi="Times New Roman"/>
                <w:sz w:val="18"/>
                <w:szCs w:val="18"/>
                <w:color w:val="auto"/>
              </w:rPr>
              <w:t>0.0004</w:t>
            </w:r>
          </w:p>
        </w:tc>
        <w:tc>
          <w:tcPr>
            <w:tcW w:w="0" w:type="dxa"/>
            <w:vAlign w:val="bottom"/>
          </w:tcPr>
          <w:p>
            <w:pPr>
              <w:spacing w:after="0"/>
              <w:rPr>
                <w:sz w:val="1"/>
                <w:szCs w:val="1"/>
                <w:color w:val="auto"/>
              </w:rPr>
            </w:pPr>
          </w:p>
        </w:tc>
      </w:tr>
      <w:tr>
        <w:trPr>
          <w:trHeight w:val="216"/>
        </w:trPr>
        <w:tc>
          <w:tcPr>
            <w:tcW w:w="43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June 15, 2031</w:t>
            </w:r>
          </w:p>
        </w:tc>
        <w:tc>
          <w:tcPr>
            <w:tcW w:w="76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0.1713</w:t>
            </w:r>
          </w:p>
        </w:tc>
        <w:tc>
          <w:tcPr>
            <w:tcW w:w="7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0.1012</w:t>
            </w:r>
          </w:p>
        </w:tc>
        <w:tc>
          <w:tcPr>
            <w:tcW w:w="7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0.0669</w:t>
            </w:r>
          </w:p>
        </w:tc>
        <w:tc>
          <w:tcPr>
            <w:tcW w:w="64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0.0442</w:t>
            </w:r>
          </w:p>
        </w:tc>
        <w:tc>
          <w:tcPr>
            <w:tcW w:w="840" w:type="dxa"/>
            <w:vAlign w:val="bottom"/>
            <w:gridSpan w:val="3"/>
          </w:tcPr>
          <w:p>
            <w:pPr>
              <w:jc w:val="right"/>
              <w:ind w:right="160"/>
              <w:spacing w:after="0"/>
              <w:rPr>
                <w:sz w:val="20"/>
                <w:szCs w:val="20"/>
                <w:color w:val="auto"/>
              </w:rPr>
            </w:pPr>
            <w:r>
              <w:rPr>
                <w:rFonts w:ascii="Times New Roman" w:cs="Times New Roman" w:eastAsia="Times New Roman" w:hAnsi="Times New Roman"/>
                <w:sz w:val="18"/>
                <w:szCs w:val="18"/>
                <w:color w:val="auto"/>
              </w:rPr>
              <w:t>0.0262</w:t>
            </w:r>
          </w:p>
        </w:tc>
        <w:tc>
          <w:tcPr>
            <w:tcW w:w="7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0.0168</w:t>
            </w:r>
          </w:p>
        </w:tc>
        <w:tc>
          <w:tcPr>
            <w:tcW w:w="7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0.0061</w:t>
            </w:r>
          </w:p>
        </w:tc>
        <w:tc>
          <w:tcPr>
            <w:tcW w:w="740" w:type="dxa"/>
            <w:vAlign w:val="bottom"/>
            <w:gridSpan w:val="2"/>
          </w:tcPr>
          <w:p>
            <w:pPr>
              <w:ind w:left="100"/>
              <w:spacing w:after="0"/>
              <w:rPr>
                <w:sz w:val="20"/>
                <w:szCs w:val="20"/>
                <w:color w:val="auto"/>
              </w:rPr>
            </w:pPr>
            <w:r>
              <w:rPr>
                <w:rFonts w:ascii="Times New Roman" w:cs="Times New Roman" w:eastAsia="Times New Roman" w:hAnsi="Times New Roman"/>
                <w:sz w:val="18"/>
                <w:szCs w:val="18"/>
                <w:color w:val="auto"/>
              </w:rPr>
              <w:t>0.0009</w:t>
            </w:r>
          </w:p>
        </w:tc>
        <w:tc>
          <w:tcPr>
            <w:tcW w:w="72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0.0001</w:t>
            </w:r>
          </w:p>
        </w:tc>
        <w:tc>
          <w:tcPr>
            <w:tcW w:w="0" w:type="dxa"/>
            <w:vAlign w:val="bottom"/>
          </w:tcPr>
          <w:p>
            <w:pPr>
              <w:spacing w:after="0"/>
              <w:rPr>
                <w:sz w:val="1"/>
                <w:szCs w:val="1"/>
                <w:color w:val="auto"/>
              </w:rPr>
            </w:pPr>
          </w:p>
        </w:tc>
      </w:tr>
      <w:tr>
        <w:trPr>
          <w:trHeight w:val="216"/>
        </w:trPr>
        <w:tc>
          <w:tcPr>
            <w:tcW w:w="4360" w:type="dxa"/>
            <w:vAlign w:val="bottom"/>
            <w:gridSpan w:val="2"/>
            <w:shd w:val="clear" w:color="auto" w:fill="CCEEFF"/>
          </w:tcPr>
          <w:p>
            <w:pPr>
              <w:spacing w:after="0"/>
              <w:rPr>
                <w:sz w:val="20"/>
                <w:szCs w:val="20"/>
                <w:color w:val="auto"/>
              </w:rPr>
            </w:pPr>
            <w:r>
              <w:rPr>
                <w:rFonts w:ascii="Times New Roman" w:cs="Times New Roman" w:eastAsia="Times New Roman" w:hAnsi="Times New Roman"/>
                <w:sz w:val="18"/>
                <w:szCs w:val="18"/>
                <w:color w:val="auto"/>
              </w:rPr>
              <w:t>June 15, 2032</w:t>
            </w:r>
          </w:p>
        </w:tc>
        <w:tc>
          <w:tcPr>
            <w:tcW w:w="76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0.1713</w:t>
            </w:r>
          </w:p>
        </w:tc>
        <w:tc>
          <w:tcPr>
            <w:tcW w:w="74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0.0661</w:t>
            </w:r>
          </w:p>
        </w:tc>
        <w:tc>
          <w:tcPr>
            <w:tcW w:w="74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0.0000</w:t>
            </w:r>
          </w:p>
        </w:tc>
        <w:tc>
          <w:tcPr>
            <w:tcW w:w="640" w:type="dxa"/>
            <w:vAlign w:val="bottom"/>
            <w:gridSpan w:val="2"/>
            <w:shd w:val="clear" w:color="auto" w:fill="CCEEFF"/>
          </w:tcPr>
          <w:p>
            <w:pPr>
              <w:jc w:val="right"/>
              <w:ind w:right="60"/>
              <w:spacing w:after="0"/>
              <w:rPr>
                <w:sz w:val="20"/>
                <w:szCs w:val="20"/>
                <w:color w:val="auto"/>
              </w:rPr>
            </w:pPr>
            <w:r>
              <w:rPr>
                <w:rFonts w:ascii="Times New Roman" w:cs="Times New Roman" w:eastAsia="Times New Roman" w:hAnsi="Times New Roman"/>
                <w:sz w:val="18"/>
                <w:szCs w:val="18"/>
                <w:color w:val="auto"/>
              </w:rPr>
              <w:t>0.0000</w:t>
            </w:r>
          </w:p>
        </w:tc>
        <w:tc>
          <w:tcPr>
            <w:tcW w:w="840" w:type="dxa"/>
            <w:vAlign w:val="bottom"/>
            <w:gridSpan w:val="3"/>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0.0000</w:t>
            </w:r>
          </w:p>
        </w:tc>
        <w:tc>
          <w:tcPr>
            <w:tcW w:w="74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0.0000</w:t>
            </w:r>
          </w:p>
        </w:tc>
        <w:tc>
          <w:tcPr>
            <w:tcW w:w="74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0.0000</w:t>
            </w:r>
          </w:p>
        </w:tc>
        <w:tc>
          <w:tcPr>
            <w:tcW w:w="740" w:type="dxa"/>
            <w:vAlign w:val="bottom"/>
            <w:gridSpan w:val="2"/>
            <w:shd w:val="clear" w:color="auto" w:fill="CCEEFF"/>
          </w:tcPr>
          <w:p>
            <w:pPr>
              <w:ind w:left="100"/>
              <w:spacing w:after="0"/>
              <w:rPr>
                <w:sz w:val="20"/>
                <w:szCs w:val="20"/>
                <w:color w:val="auto"/>
              </w:rPr>
            </w:pPr>
            <w:r>
              <w:rPr>
                <w:rFonts w:ascii="Times New Roman" w:cs="Times New Roman" w:eastAsia="Times New Roman" w:hAnsi="Times New Roman"/>
                <w:sz w:val="18"/>
                <w:szCs w:val="18"/>
                <w:color w:val="auto"/>
              </w:rPr>
              <w:t>0.0000</w:t>
            </w:r>
          </w:p>
        </w:tc>
        <w:tc>
          <w:tcPr>
            <w:tcW w:w="720" w:type="dxa"/>
            <w:vAlign w:val="bottom"/>
            <w:gridSpan w:val="2"/>
            <w:shd w:val="clear" w:color="auto" w:fill="CCEEFF"/>
          </w:tcPr>
          <w:p>
            <w:pPr>
              <w:jc w:val="right"/>
              <w:ind w:right="60"/>
              <w:spacing w:after="0"/>
              <w:rPr>
                <w:sz w:val="20"/>
                <w:szCs w:val="20"/>
                <w:color w:val="auto"/>
              </w:rPr>
            </w:pPr>
            <w:r>
              <w:rPr>
                <w:rFonts w:ascii="Times New Roman" w:cs="Times New Roman" w:eastAsia="Times New Roman" w:hAnsi="Times New Roman"/>
                <w:sz w:val="18"/>
                <w:szCs w:val="18"/>
                <w:color w:val="auto"/>
              </w:rPr>
              <w:t>0.0000</w:t>
            </w:r>
          </w:p>
        </w:tc>
        <w:tc>
          <w:tcPr>
            <w:tcW w:w="0" w:type="dxa"/>
            <w:vAlign w:val="bottom"/>
          </w:tcPr>
          <w:p>
            <w:pPr>
              <w:spacing w:after="0"/>
              <w:rPr>
                <w:sz w:val="1"/>
                <w:szCs w:val="1"/>
                <w:color w:val="auto"/>
              </w:rPr>
            </w:pPr>
          </w:p>
        </w:tc>
      </w:tr>
    </w:tbl>
    <w:p>
      <w:pPr>
        <w:spacing w:after="0" w:line="198"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The exact Stock Price and Effective Date may not be set forth in the table above, in which case:</w:t>
      </w:r>
    </w:p>
    <w:p>
      <w:pPr>
        <w:spacing w:after="0" w:line="117" w:lineRule="exact"/>
        <w:rPr>
          <w:sz w:val="20"/>
          <w:szCs w:val="20"/>
          <w:color w:val="auto"/>
        </w:rPr>
      </w:pPr>
    </w:p>
    <w:p>
      <w:pPr>
        <w:ind w:left="440" w:right="120" w:firstLine="419"/>
        <w:spacing w:after="0" w:line="266" w:lineRule="auto"/>
        <w:tabs>
          <w:tab w:leader="none" w:pos="1078" w:val="left"/>
        </w:tabs>
        <w:numPr>
          <w:ilvl w:val="0"/>
          <w:numId w:val="5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Stock Price is between two Stock Prices in the table above or the Effective Date is between two Effective Dates in the table, the number of Additional Shares shall be determined by a straight-line interpolation between the number of Additional Shares set forth for the higher and lower Stock Prices and the earlier and later Effective Dates, as applicable, based on a 365-day year;</w:t>
      </w:r>
    </w:p>
    <w:p>
      <w:pPr>
        <w:spacing w:after="0" w:line="67" w:lineRule="exact"/>
        <w:rPr>
          <w:rFonts w:ascii="Times New Roman" w:cs="Times New Roman" w:eastAsia="Times New Roman" w:hAnsi="Times New Roman"/>
          <w:sz w:val="18"/>
          <w:szCs w:val="18"/>
          <w:color w:val="auto"/>
        </w:rPr>
      </w:pPr>
    </w:p>
    <w:p>
      <w:pPr>
        <w:ind w:left="440" w:right="100" w:firstLine="419"/>
        <w:spacing w:after="0" w:line="282" w:lineRule="auto"/>
        <w:tabs>
          <w:tab w:leader="none" w:pos="1128" w:val="left"/>
        </w:tabs>
        <w:numPr>
          <w:ilvl w:val="0"/>
          <w:numId w:val="5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Stock Price is greater than $10,000 per share (subject to adjustment in the same manner as the Stock Prices set forth in the column headings of the table above pursuant to subsection (d) above), no Additional Shares shall be added to the Conversion Rate; and</w:t>
      </w:r>
    </w:p>
    <w:p>
      <w:pPr>
        <w:spacing w:after="0" w:line="53" w:lineRule="exact"/>
        <w:rPr>
          <w:rFonts w:ascii="Times New Roman" w:cs="Times New Roman" w:eastAsia="Times New Roman" w:hAnsi="Times New Roman"/>
          <w:sz w:val="18"/>
          <w:szCs w:val="18"/>
          <w:color w:val="auto"/>
        </w:rPr>
      </w:pPr>
    </w:p>
    <w:p>
      <w:pPr>
        <w:ind w:left="440" w:right="140" w:firstLine="419"/>
        <w:spacing w:after="0" w:line="282" w:lineRule="auto"/>
        <w:tabs>
          <w:tab w:leader="none" w:pos="1178" w:val="left"/>
        </w:tabs>
        <w:numPr>
          <w:ilvl w:val="0"/>
          <w:numId w:val="5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Stock Price is less than $1,513.46 per share (subject to adjustment in the same manner as the Stock Prices set forth in the column headings of the table above pursuant to subsection (d) above), no Additional Shares shall be added to the Conversion Rate.</w:t>
      </w:r>
    </w:p>
    <w:p>
      <w:pPr>
        <w:spacing w:after="0" w:line="162" w:lineRule="exact"/>
        <w:rPr>
          <w:sz w:val="20"/>
          <w:szCs w:val="20"/>
          <w:color w:val="auto"/>
        </w:rPr>
      </w:pPr>
    </w:p>
    <w:p>
      <w:pPr>
        <w:ind w:right="300"/>
        <w:spacing w:after="0" w:line="282" w:lineRule="auto"/>
        <w:rPr>
          <w:sz w:val="20"/>
          <w:szCs w:val="20"/>
          <w:color w:val="auto"/>
        </w:rPr>
      </w:pPr>
      <w:r>
        <w:rPr>
          <w:rFonts w:ascii="Times New Roman" w:cs="Times New Roman" w:eastAsia="Times New Roman" w:hAnsi="Times New Roman"/>
          <w:sz w:val="18"/>
          <w:szCs w:val="18"/>
          <w:color w:val="auto"/>
        </w:rPr>
        <w:t>Notwithstanding the foregoing, in no event shall the Conversion Rate per $1,000 principal amount of Notes exceed 0.6607 shares of Common Stock, subject to adjustment in the same manner as the Conversion Rate pursuant to Section 14.04.</w:t>
      </w:r>
    </w:p>
    <w:p>
      <w:pPr>
        <w:spacing w:after="0" w:line="162" w:lineRule="exact"/>
        <w:rPr>
          <w:sz w:val="20"/>
          <w:szCs w:val="20"/>
          <w:color w:val="auto"/>
        </w:rPr>
      </w:pPr>
    </w:p>
    <w:p>
      <w:pPr>
        <w:ind w:right="580" w:firstLine="436"/>
        <w:spacing w:after="0" w:line="282" w:lineRule="auto"/>
        <w:tabs>
          <w:tab w:leader="none" w:pos="665" w:val="left"/>
        </w:tabs>
        <w:numPr>
          <w:ilvl w:val="0"/>
          <w:numId w:val="5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Nothing in this Section 14.03 shall prevent an adjustment to the Conversion Rate pursuant to Section 14.04 in respect of a Make-Whole Fundamental Change.</w:t>
      </w:r>
    </w:p>
    <w:p>
      <w:pPr>
        <w:spacing w:after="0" w:line="9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67</w:t>
      </w:r>
    </w:p>
    <w:p>
      <w:pPr>
        <w:sectPr>
          <w:pgSz w:w="11900" w:h="16838" w:orient="portrait"/>
          <w:cols w:equalWidth="0" w:num="1">
            <w:col w:w="11020"/>
          </w:cols>
          <w:pgMar w:left="440" w:top="270" w:right="439" w:bottom="1440" w:gutter="0" w:footer="0" w:header="0"/>
        </w:sectPr>
      </w:pPr>
    </w:p>
    <w:bookmarkStart w:id="78" w:name="page79"/>
    <w:bookmarkEnd w:id="78"/>
    <w:p>
      <w:pPr>
        <w:ind w:firstLine="440"/>
        <w:spacing w:after="0" w:line="257"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9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14.04</w:t>
      </w:r>
      <w:r>
        <w:rPr>
          <w:rFonts w:ascii="Times New Roman" w:cs="Times New Roman" w:eastAsia="Times New Roman" w:hAnsi="Times New Roman"/>
          <w:sz w:val="18"/>
          <w:szCs w:val="18"/>
          <w:i w:val="1"/>
          <w:iCs w:val="1"/>
          <w:color w:val="auto"/>
        </w:rPr>
        <w:t>. Adjustment of Conversion Rate.</w:t>
      </w:r>
      <w:r>
        <w:rPr>
          <w:rFonts w:ascii="Times New Roman" w:cs="Times New Roman" w:eastAsia="Times New Roman" w:hAnsi="Times New Roman"/>
          <w:sz w:val="18"/>
          <w:szCs w:val="18"/>
          <w:color w:val="auto"/>
        </w:rPr>
        <w:t xml:space="preserve"> The Conversion Rate shall be adjusted from time to time by the Company if any of the following events occurs, except that the Company shall not make any adjustments to the Conversion Rate if Holders of the Notes participate (other than in the case of (x) a share split or share combination or (y) a tender or exchange offer), at the same time and upon the same terms as holders of the Common Stock and solely as a result of holding the Notes, in any of the transactions described in this Section 14.04, without having to convert their Notes, as if they held a number of shares of Common Stock equal to the Conversion Rate, </w:t>
      </w:r>
      <w:r>
        <w:rPr>
          <w:rFonts w:ascii="Times New Roman" w:cs="Times New Roman" w:eastAsia="Times New Roman" w:hAnsi="Times New Roman"/>
          <w:sz w:val="18"/>
          <w:szCs w:val="18"/>
          <w:i w:val="1"/>
          <w:iCs w:val="1"/>
          <w:color w:val="auto"/>
        </w:rPr>
        <w:t>multiplied by</w:t>
      </w:r>
      <w:r>
        <w:rPr>
          <w:rFonts w:ascii="Times New Roman" w:cs="Times New Roman" w:eastAsia="Times New Roman" w:hAnsi="Times New Roman"/>
          <w:sz w:val="18"/>
          <w:szCs w:val="18"/>
          <w:color w:val="auto"/>
        </w:rPr>
        <w:t xml:space="preserve"> the principal amount (expressed in thousands) of Notes held by such Holder.</w:t>
      </w:r>
    </w:p>
    <w:p>
      <w:pPr>
        <w:spacing w:after="0" w:line="184" w:lineRule="exact"/>
        <w:rPr>
          <w:sz w:val="20"/>
          <w:szCs w:val="20"/>
          <w:color w:val="auto"/>
        </w:rPr>
      </w:pPr>
    </w:p>
    <w:p>
      <w:pPr>
        <w:ind w:right="160" w:firstLine="436"/>
        <w:spacing w:after="0" w:line="282" w:lineRule="auto"/>
        <w:tabs>
          <w:tab w:leader="none" w:pos="685" w:val="left"/>
        </w:tabs>
        <w:numPr>
          <w:ilvl w:val="0"/>
          <w:numId w:val="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Company exclusively issues shares of Common Stock as a dividend or distribution on shares of the Common Stock, or if the Company effects a share split or share combination, the Conversion Rate shall be adjusted based on the following formula: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2980690</wp:posOffset>
            </wp:positionH>
            <wp:positionV relativeFrom="paragraph">
              <wp:posOffset>131445</wp:posOffset>
            </wp:positionV>
            <wp:extent cx="1036955" cy="386080"/>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8">
                      <a:extLst>
                        <a:ext uri="{28A0092B-C50C-407E-A947-70E740481C1C}"/>
                      </a:extLst>
                    </a:blip>
                    <a:srcRect/>
                    <a:stretch>
                      <a:fillRect/>
                    </a:stretch>
                  </pic:blipFill>
                  <pic:spPr bwMode="auto">
                    <a:xfrm>
                      <a:off x="0" y="0"/>
                      <a:ext cx="1036955" cy="386080"/>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92" w:lineRule="exact"/>
        <w:rPr>
          <w:sz w:val="20"/>
          <w:szCs w:val="20"/>
          <w:color w:val="auto"/>
        </w:rPr>
      </w:pPr>
    </w:p>
    <w:tbl>
      <w:tblPr>
        <w:tblLayout w:type="fixed"/>
        <w:tblInd w:w="0" w:type="dxa"/>
        <w:tblCellMar>
          <w:top w:w="0" w:type="dxa"/>
          <w:left w:w="0" w:type="dxa"/>
          <w:bottom w:w="0" w:type="dxa"/>
          <w:right w:w="0" w:type="dxa"/>
        </w:tblCellMar>
      </w:tblPr>
      <w:tr>
        <w:trPr>
          <w:trHeight w:val="234"/>
        </w:trPr>
        <w:tc>
          <w:tcPr>
            <w:tcW w:w="60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where,</w:t>
            </w:r>
          </w:p>
        </w:tc>
        <w:tc>
          <w:tcPr>
            <w:tcW w:w="10080" w:type="dxa"/>
            <w:vAlign w:val="bottom"/>
          </w:tcPr>
          <w:p>
            <w:pPr>
              <w:spacing w:after="0"/>
              <w:rPr>
                <w:sz w:val="20"/>
                <w:szCs w:val="20"/>
                <w:color w:val="auto"/>
              </w:rPr>
            </w:pPr>
          </w:p>
        </w:tc>
      </w:tr>
      <w:tr>
        <w:trPr>
          <w:trHeight w:val="441"/>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CR</w:t>
            </w:r>
            <w:r>
              <w:rPr>
                <w:rFonts w:ascii="Times New Roman" w:cs="Times New Roman" w:eastAsia="Times New Roman" w:hAnsi="Times New Roman"/>
                <w:sz w:val="26"/>
                <w:szCs w:val="26"/>
                <w:color w:val="auto"/>
                <w:vertAlign w:val="subscript"/>
              </w:rPr>
              <w:t>0</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08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the Conversion Rate in effect immediately prior to the open of business on the Ex-Dividend Date of such dividend or distribution, or</w:t>
            </w:r>
          </w:p>
        </w:tc>
      </w:tr>
      <w:tr>
        <w:trPr>
          <w:trHeight w:val="234"/>
        </w:trPr>
        <w:tc>
          <w:tcPr>
            <w:tcW w:w="3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08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immediately prior to the open of business on the Effective Date of such share split or share combination, as applicable;</w:t>
            </w:r>
          </w:p>
        </w:tc>
      </w:tr>
      <w:tr>
        <w:trPr>
          <w:trHeight w:val="324"/>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CR’</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08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the Conversion Rate in effect immediately after the open of business on such Ex-Dividend Date or Effective Date;</w:t>
            </w:r>
          </w:p>
        </w:tc>
      </w:tr>
      <w:tr>
        <w:trPr>
          <w:trHeight w:val="306"/>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OS</w:t>
            </w:r>
            <w:r>
              <w:rPr>
                <w:rFonts w:ascii="Times New Roman" w:cs="Times New Roman" w:eastAsia="Times New Roman" w:hAnsi="Times New Roman"/>
                <w:sz w:val="26"/>
                <w:szCs w:val="26"/>
                <w:color w:val="auto"/>
                <w:vertAlign w:val="subscript"/>
              </w:rPr>
              <w:t>0</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080" w:type="dxa"/>
            <w:vAlign w:val="bottom"/>
          </w:tcPr>
          <w:p>
            <w:pPr>
              <w:ind w:left="60"/>
              <w:spacing w:after="0"/>
              <w:rPr>
                <w:sz w:val="20"/>
                <w:szCs w:val="20"/>
                <w:color w:val="auto"/>
              </w:rPr>
            </w:pPr>
            <w:r>
              <w:rPr>
                <w:rFonts w:ascii="Times New Roman" w:cs="Times New Roman" w:eastAsia="Times New Roman" w:hAnsi="Times New Roman"/>
                <w:sz w:val="18"/>
                <w:szCs w:val="18"/>
                <w:color w:val="auto"/>
                <w:w w:val="99"/>
              </w:rPr>
              <w:t>the number of shares of Common Stock outstanding immediately prior to the open of business on such Ex-Dividend Date or Effective Date</w:t>
            </w:r>
          </w:p>
        </w:tc>
      </w:tr>
      <w:tr>
        <w:trPr>
          <w:trHeight w:val="234"/>
        </w:trPr>
        <w:tc>
          <w:tcPr>
            <w:tcW w:w="3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08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(before giving effect to any such dividend, distribution, split or combination); and</w:t>
            </w:r>
          </w:p>
        </w:tc>
      </w:tr>
      <w:tr>
        <w:trPr>
          <w:trHeight w:val="306"/>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OS’</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08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the number of shares of Common Stock outstanding immediately after giving effect to such dividend, distribution, share split or share</w:t>
            </w:r>
          </w:p>
        </w:tc>
      </w:tr>
      <w:tr>
        <w:trPr>
          <w:trHeight w:val="234"/>
        </w:trPr>
        <w:tc>
          <w:tcPr>
            <w:tcW w:w="3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08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combination.</w:t>
            </w:r>
          </w:p>
        </w:tc>
      </w:tr>
    </w:tbl>
    <w:p>
      <w:pPr>
        <w:spacing w:after="0" w:line="198" w:lineRule="exact"/>
        <w:rPr>
          <w:sz w:val="20"/>
          <w:szCs w:val="20"/>
          <w:color w:val="auto"/>
        </w:rPr>
      </w:pPr>
    </w:p>
    <w:p>
      <w:pPr>
        <w:ind w:right="20"/>
        <w:spacing w:after="0" w:line="258" w:lineRule="auto"/>
        <w:rPr>
          <w:sz w:val="20"/>
          <w:szCs w:val="20"/>
          <w:color w:val="auto"/>
        </w:rPr>
      </w:pPr>
      <w:r>
        <w:rPr>
          <w:rFonts w:ascii="Times New Roman" w:cs="Times New Roman" w:eastAsia="Times New Roman" w:hAnsi="Times New Roman"/>
          <w:sz w:val="18"/>
          <w:szCs w:val="18"/>
          <w:color w:val="auto"/>
        </w:rPr>
        <w:t>Any adjustment made under this Section 14.04(a) shall become effective immediately after the open of business on the Ex-Dividend Date for such dividend or distribution, or immediately after the open of business on the Effective Date for such share split or share combination, as applicable. If any dividend or distribution of the type described in this Section 14.04(a) is declared but not so paid or made, the Conversion Rate shall be immediately readjusted, effective as of the date the Board of Directors determines not to pay such dividend or distribution, to the Conversion Rate that would then be in effect if such dividend or distribution had not been declared.</w:t>
      </w:r>
    </w:p>
    <w:p>
      <w:pPr>
        <w:spacing w:after="0" w:line="183" w:lineRule="exact"/>
        <w:rPr>
          <w:sz w:val="20"/>
          <w:szCs w:val="20"/>
          <w:color w:val="auto"/>
        </w:rPr>
      </w:pPr>
    </w:p>
    <w:p>
      <w:pPr>
        <w:jc w:val="both"/>
        <w:ind w:right="100" w:firstLine="436"/>
        <w:spacing w:after="0" w:line="266" w:lineRule="auto"/>
        <w:tabs>
          <w:tab w:leader="none" w:pos="695" w:val="left"/>
        </w:tabs>
        <w:numPr>
          <w:ilvl w:val="0"/>
          <w:numId w:val="6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Company issues to all or substantially all holders of the Common Stock any rights, options or warrants (other than in connection with a stockholder rights plan) entitling them, for a period of not more than 45 calendar days after the announcement date of such issuance, to subscribe for or purchase shares of the Common Stock at a price per share that is</w:t>
      </w:r>
    </w:p>
    <w:p>
      <w:pPr>
        <w:spacing w:after="0" w:line="108"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68</w:t>
      </w:r>
    </w:p>
    <w:p>
      <w:pPr>
        <w:sectPr>
          <w:pgSz w:w="11900" w:h="16838" w:orient="portrait"/>
          <w:cols w:equalWidth="0" w:num="1">
            <w:col w:w="10980"/>
          </w:cols>
          <w:pgMar w:left="440" w:top="268" w:right="479" w:bottom="1440" w:gutter="0" w:footer="0" w:header="0"/>
        </w:sectPr>
      </w:pPr>
    </w:p>
    <w:bookmarkStart w:id="79" w:name="page80"/>
    <w:bookmarkEnd w:id="79"/>
    <w:p>
      <w:pPr>
        <w:ind w:left="4"/>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less than the average of the Last Reported Sale Prices of the Common Stock for the 10 consecutive Trading Day period ending on, and including, the</w:t>
      </w:r>
    </w:p>
    <w:p>
      <w:pPr>
        <w:spacing w:after="0" w:line="27"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Trading Day immediately preceding the date of announcement of such issuance, the Conversion Rate shall be increased based on the following formula: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2897505</wp:posOffset>
            </wp:positionH>
            <wp:positionV relativeFrom="paragraph">
              <wp:posOffset>160020</wp:posOffset>
            </wp:positionV>
            <wp:extent cx="1209040" cy="386080"/>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00">
                      <a:extLst>
                        <a:ext uri="{28A0092B-C50C-407E-A947-70E740481C1C}"/>
                      </a:extLst>
                    </a:blip>
                    <a:srcRect/>
                    <a:stretch>
                      <a:fillRect/>
                    </a:stretch>
                  </pic:blipFill>
                  <pic:spPr bwMode="auto">
                    <a:xfrm>
                      <a:off x="0" y="0"/>
                      <a:ext cx="1209040" cy="386080"/>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37" w:lineRule="exact"/>
        <w:rPr>
          <w:sz w:val="20"/>
          <w:szCs w:val="20"/>
          <w:color w:val="auto"/>
        </w:rPr>
      </w:pPr>
    </w:p>
    <w:tbl>
      <w:tblPr>
        <w:tblLayout w:type="fixed"/>
        <w:tblInd w:w="4" w:type="dxa"/>
        <w:tblCellMar>
          <w:top w:w="0" w:type="dxa"/>
          <w:left w:w="0" w:type="dxa"/>
          <w:bottom w:w="0" w:type="dxa"/>
          <w:right w:w="0" w:type="dxa"/>
        </w:tblCellMar>
      </w:tblPr>
      <w:tr>
        <w:trPr>
          <w:trHeight w:val="234"/>
        </w:trPr>
        <w:tc>
          <w:tcPr>
            <w:tcW w:w="60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where,</w:t>
            </w:r>
          </w:p>
        </w:tc>
        <w:tc>
          <w:tcPr>
            <w:tcW w:w="8860" w:type="dxa"/>
            <w:vAlign w:val="bottom"/>
          </w:tcPr>
          <w:p>
            <w:pPr>
              <w:spacing w:after="0"/>
              <w:rPr>
                <w:sz w:val="20"/>
                <w:szCs w:val="20"/>
                <w:color w:val="auto"/>
              </w:rPr>
            </w:pPr>
          </w:p>
        </w:tc>
      </w:tr>
      <w:tr>
        <w:trPr>
          <w:trHeight w:val="472"/>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CR</w:t>
            </w:r>
            <w:r>
              <w:rPr>
                <w:rFonts w:ascii="Times New Roman" w:cs="Times New Roman" w:eastAsia="Times New Roman" w:hAnsi="Times New Roman"/>
                <w:sz w:val="26"/>
                <w:szCs w:val="26"/>
                <w:color w:val="auto"/>
                <w:vertAlign w:val="subscript"/>
              </w:rPr>
              <w:t>0</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8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the Conversion Rate in effect immediately prior to the open of business on the Ex-Dividend Date for such issuance;</w:t>
            </w:r>
          </w:p>
        </w:tc>
      </w:tr>
      <w:tr>
        <w:trPr>
          <w:trHeight w:val="311"/>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CR’</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8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the Conversion Rate in effect immediately after the open of business on such Ex-Dividend Date;</w:t>
            </w:r>
          </w:p>
        </w:tc>
      </w:tr>
      <w:tr>
        <w:trPr>
          <w:trHeight w:val="355"/>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OS</w:t>
            </w:r>
            <w:r>
              <w:rPr>
                <w:rFonts w:ascii="Times New Roman" w:cs="Times New Roman" w:eastAsia="Times New Roman" w:hAnsi="Times New Roman"/>
                <w:sz w:val="26"/>
                <w:szCs w:val="26"/>
                <w:color w:val="auto"/>
                <w:vertAlign w:val="subscript"/>
              </w:rPr>
              <w:t>0</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860" w:type="dxa"/>
            <w:vAlign w:val="bottom"/>
          </w:tcPr>
          <w:p>
            <w:pPr>
              <w:ind w:left="60"/>
              <w:spacing w:after="0"/>
              <w:rPr>
                <w:sz w:val="20"/>
                <w:szCs w:val="20"/>
                <w:color w:val="auto"/>
              </w:rPr>
            </w:pPr>
            <w:r>
              <w:rPr>
                <w:rFonts w:ascii="Times New Roman" w:cs="Times New Roman" w:eastAsia="Times New Roman" w:hAnsi="Times New Roman"/>
                <w:sz w:val="18"/>
                <w:szCs w:val="18"/>
                <w:color w:val="auto"/>
                <w:w w:val="99"/>
              </w:rPr>
              <w:t>the number of shares of Common Stock outstanding immediately prior to the open of business on such Ex-Dividend Date;</w:t>
            </w:r>
          </w:p>
        </w:tc>
      </w:tr>
    </w:tbl>
    <w:p>
      <w:pPr>
        <w:spacing w:after="0" w:line="59" w:lineRule="exact"/>
        <w:rPr>
          <w:sz w:val="20"/>
          <w:szCs w:val="20"/>
          <w:color w:val="auto"/>
        </w:rPr>
      </w:pPr>
    </w:p>
    <w:p>
      <w:pPr>
        <w:ind w:left="444" w:hanging="444"/>
        <w:spacing w:after="0"/>
        <w:tabs>
          <w:tab w:leader="none" w:pos="444" w:val="left"/>
        </w:tabs>
        <w:numPr>
          <w:ilvl w:val="0"/>
          <w:numId w:val="6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the total number of shares of Common Stock issuable pursuant to such rights, options or warrants; and</w:t>
      </w:r>
    </w:p>
    <w:p>
      <w:pPr>
        <w:spacing w:after="0" w:line="115" w:lineRule="exact"/>
        <w:rPr>
          <w:sz w:val="20"/>
          <w:szCs w:val="20"/>
          <w:color w:val="auto"/>
        </w:rPr>
      </w:pPr>
    </w:p>
    <w:p>
      <w:pPr>
        <w:ind w:left="664" w:hanging="664"/>
        <w:spacing w:after="0" w:line="267" w:lineRule="auto"/>
        <w:tabs>
          <w:tab w:leader="none" w:pos="448" w:val="left"/>
        </w:tabs>
        <w:numPr>
          <w:ilvl w:val="0"/>
          <w:numId w:val="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 the number of shares of Common Stock equal to the aggregate price payable to exercise such rights, options or warrants, </w:t>
      </w:r>
      <w:r>
        <w:rPr>
          <w:rFonts w:ascii="Times New Roman" w:cs="Times New Roman" w:eastAsia="Times New Roman" w:hAnsi="Times New Roman"/>
          <w:sz w:val="18"/>
          <w:szCs w:val="18"/>
          <w:i w:val="1"/>
          <w:iCs w:val="1"/>
          <w:color w:val="auto"/>
        </w:rPr>
        <w:t>divided by</w:t>
      </w:r>
      <w:r>
        <w:rPr>
          <w:rFonts w:ascii="Times New Roman" w:cs="Times New Roman" w:eastAsia="Times New Roman" w:hAnsi="Times New Roman"/>
          <w:sz w:val="18"/>
          <w:szCs w:val="18"/>
          <w:color w:val="auto"/>
        </w:rPr>
        <w:t xml:space="preserve"> the average of the Last Reported Sale Prices of the Common Stock over the 10 consecutive Trading Day period ending on, and including, the Trading Day immediately preceding the date of announcement of the issuance of such rights, options or warrants.</w:t>
      </w:r>
    </w:p>
    <w:p>
      <w:pPr>
        <w:spacing w:after="0" w:line="175" w:lineRule="exact"/>
        <w:rPr>
          <w:sz w:val="20"/>
          <w:szCs w:val="20"/>
          <w:color w:val="auto"/>
        </w:rPr>
      </w:pPr>
    </w:p>
    <w:p>
      <w:pPr>
        <w:ind w:left="4" w:right="20"/>
        <w:spacing w:after="0" w:line="256" w:lineRule="auto"/>
        <w:rPr>
          <w:sz w:val="20"/>
          <w:szCs w:val="20"/>
          <w:color w:val="auto"/>
        </w:rPr>
      </w:pPr>
      <w:r>
        <w:rPr>
          <w:rFonts w:ascii="Times New Roman" w:cs="Times New Roman" w:eastAsia="Times New Roman" w:hAnsi="Times New Roman"/>
          <w:sz w:val="18"/>
          <w:szCs w:val="18"/>
          <w:color w:val="auto"/>
        </w:rPr>
        <w:t>Any increase made under this Section 14.04(b) shall be made successively whenever any such rights, options or warrants are issued and shall become effective immediately after the open of business on the Ex-Dividend Date for such issuance. To the extent that shares of the Common Stock are not delivered after the expiration of such rights, options or warrants, the Conversion Rate shall be decreased to the Conversion Rate that would then be in effect had the increase with respect to the issuance of such rights, options or warrants been made on the basis of delivery of only the number of shares of Common Stock actually delivered. If such rights, options or warrants are not so issued, the Conversion Rate shall be decreased to the Conversion Rate that would then be in effect if such Ex-Dividend Date for such issuance had not occurred.</w:t>
      </w:r>
    </w:p>
    <w:p>
      <w:pPr>
        <w:spacing w:after="0" w:line="187" w:lineRule="exact"/>
        <w:rPr>
          <w:sz w:val="20"/>
          <w:szCs w:val="20"/>
          <w:color w:val="auto"/>
        </w:rPr>
      </w:pPr>
    </w:p>
    <w:p>
      <w:pPr>
        <w:ind w:left="4" w:right="20" w:firstLine="440"/>
        <w:spacing w:after="0" w:line="256" w:lineRule="auto"/>
        <w:rPr>
          <w:sz w:val="20"/>
          <w:szCs w:val="20"/>
          <w:color w:val="auto"/>
        </w:rPr>
      </w:pPr>
      <w:r>
        <w:rPr>
          <w:rFonts w:ascii="Times New Roman" w:cs="Times New Roman" w:eastAsia="Times New Roman" w:hAnsi="Times New Roman"/>
          <w:sz w:val="18"/>
          <w:szCs w:val="18"/>
          <w:color w:val="auto"/>
        </w:rPr>
        <w:t>For purposes of this Section 14.04(b) and for the purpose of Section 14.01(b)(ii)(A), in determining whether any rights, options or warrants entitle the holders of the Common Stock to subscribe for or purchase shares of the Common Stock at less than such average of the Last Reported Sale Prices of the Common Stock for the 10 consecutive Trading Day period ending on, and including, the Trading Day immediately preceding the date of announcement for such issuance, and in determining the aggregate offering price of such shares of Common Stock, there shall be taken into account any consideration received by the Company for such rights, options or warrants and any amount payable on exercise or conversion thereof, the value of such consideration, if other than cash, to be determined by the Board of Directors.</w:t>
      </w:r>
    </w:p>
    <w:p>
      <w:pPr>
        <w:spacing w:after="0" w:line="120" w:lineRule="exact"/>
        <w:rPr>
          <w:sz w:val="20"/>
          <w:szCs w:val="20"/>
          <w:color w:val="auto"/>
        </w:rPr>
      </w:pPr>
    </w:p>
    <w:p>
      <w:pPr>
        <w:jc w:val="center"/>
        <w:ind w:right="-23"/>
        <w:spacing w:after="0"/>
        <w:rPr>
          <w:sz w:val="20"/>
          <w:szCs w:val="20"/>
          <w:color w:val="auto"/>
        </w:rPr>
      </w:pPr>
      <w:r>
        <w:rPr>
          <w:rFonts w:ascii="Times New Roman" w:cs="Times New Roman" w:eastAsia="Times New Roman" w:hAnsi="Times New Roman"/>
          <w:sz w:val="18"/>
          <w:szCs w:val="18"/>
          <w:color w:val="auto"/>
        </w:rPr>
        <w:t>69</w:t>
      </w:r>
    </w:p>
    <w:p>
      <w:pPr>
        <w:sectPr>
          <w:pgSz w:w="11900" w:h="16838" w:orient="portrait"/>
          <w:cols w:equalWidth="0" w:num="1">
            <w:col w:w="11004"/>
          </w:cols>
          <w:pgMar w:left="436" w:top="270" w:right="459" w:bottom="1440" w:gutter="0" w:footer="0" w:header="0"/>
        </w:sectPr>
      </w:pPr>
    </w:p>
    <w:bookmarkStart w:id="80" w:name="page81"/>
    <w:bookmarkEnd w:id="80"/>
    <w:p>
      <w:pPr>
        <w:ind w:right="40" w:firstLine="436"/>
        <w:spacing w:after="0" w:line="254" w:lineRule="auto"/>
        <w:tabs>
          <w:tab w:leader="none" w:pos="685" w:val="left"/>
        </w:tabs>
        <w:numPr>
          <w:ilvl w:val="0"/>
          <w:numId w:val="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0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If the Company distributes shares of its Capital Stock, evidences of its indebtedness, other assets or property of the Company or rights, options or warrants to acquire its Capital Stock or other securities, to all or substantially all holders of the Common Stock, excluding (i) dividends, distributions or issuances as to which an adjustment was effected pursuant to Section 14.04(a) or Section 14.04(b), (ii) dividends or distributions paid exclusively in cash as to which the provisions set forth in Section 14.04(d) shall apply, (iii) except as otherwise set forth below in this Section 14.04(c), rights issued pursuant to stockholder rights plan of the Company, (iv) any dividends or distributions of Reference Property in exchange for Common Stock in connection with a transaction described in Section 14.07 and (v) Spin-Offs as to which the provisions set forth below in this Section 14.04(c) shall apply (any of such shares of Capital Stock, evidences of indebtedness, other assets or property or rights, options or warrants to acquire Capital Stock or other securities, the “</w:t>
      </w:r>
      <w:r>
        <w:rPr>
          <w:rFonts w:ascii="Times New Roman" w:cs="Times New Roman" w:eastAsia="Times New Roman" w:hAnsi="Times New Roman"/>
          <w:sz w:val="18"/>
          <w:szCs w:val="18"/>
          <w:b w:val="1"/>
          <w:bCs w:val="1"/>
          <w:color w:val="auto"/>
        </w:rPr>
        <w:t>Distributed Property</w:t>
      </w:r>
      <w:r>
        <w:rPr>
          <w:rFonts w:ascii="Times New Roman" w:cs="Times New Roman" w:eastAsia="Times New Roman" w:hAnsi="Times New Roman"/>
          <w:sz w:val="18"/>
          <w:szCs w:val="18"/>
          <w:color w:val="auto"/>
        </w:rPr>
        <w:t>”), then the Conversion Rate shall be increased based on the following formula: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2809240</wp:posOffset>
            </wp:positionH>
            <wp:positionV relativeFrom="paragraph">
              <wp:posOffset>150495</wp:posOffset>
            </wp:positionV>
            <wp:extent cx="1380490" cy="386080"/>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2">
                      <a:extLst>
                        <a:ext uri="{28A0092B-C50C-407E-A947-70E740481C1C}"/>
                      </a:extLst>
                    </a:blip>
                    <a:srcRect/>
                    <a:stretch>
                      <a:fillRect/>
                    </a:stretch>
                  </pic:blipFill>
                  <pic:spPr bwMode="auto">
                    <a:xfrm>
                      <a:off x="0" y="0"/>
                      <a:ext cx="1380490" cy="386080"/>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2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where,</w:t>
      </w:r>
    </w:p>
    <w:p>
      <w:pPr>
        <w:sectPr>
          <w:pgSz w:w="11900" w:h="16838" w:orient="portrait"/>
          <w:cols w:equalWidth="0" w:num="1">
            <w:col w:w="11020"/>
          </w:cols>
          <w:pgMar w:left="440" w:top="270" w:right="439" w:bottom="1440" w:gutter="0" w:footer="0" w:header="0"/>
        </w:sectPr>
      </w:pPr>
    </w:p>
    <w:p>
      <w:pPr>
        <w:spacing w:after="0" w:line="252"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color w:val="auto"/>
        </w:rPr>
        <w:t>CR</w:t>
      </w:r>
      <w:r>
        <w:rPr>
          <w:rFonts w:ascii="Times New Roman" w:cs="Times New Roman" w:eastAsia="Times New Roman" w:hAnsi="Times New Roman"/>
          <w:sz w:val="12"/>
          <w:szCs w:val="12"/>
          <w:color w:val="auto"/>
        </w:rPr>
        <w:t>0</w:t>
      </w:r>
    </w:p>
    <w:p>
      <w:pPr>
        <w:spacing w:after="0" w:line="20" w:lineRule="exact"/>
        <w:rPr>
          <w:sz w:val="20"/>
          <w:szCs w:val="20"/>
          <w:color w:val="auto"/>
        </w:rPr>
      </w:pPr>
      <w:r>
        <w:rPr>
          <w:sz w:val="20"/>
          <w:szCs w:val="20"/>
          <w:color w:val="auto"/>
        </w:rPr>
        <w:br w:type="column"/>
      </w:r>
    </w:p>
    <w:p>
      <w:pPr>
        <w:spacing w:after="0" w:line="23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 the Conversion Rate in effect immediately prior to the open of business on the Ex-Dividend Date for such distribution;</w:t>
      </w:r>
    </w:p>
    <w:p>
      <w:pPr>
        <w:spacing w:after="0" w:line="117" w:lineRule="exact"/>
        <w:rPr>
          <w:sz w:val="20"/>
          <w:szCs w:val="20"/>
          <w:color w:val="auto"/>
        </w:rPr>
      </w:pPr>
    </w:p>
    <w:p>
      <w:pPr>
        <w:sectPr>
          <w:pgSz w:w="11900" w:h="16838" w:orient="portrait"/>
          <w:cols w:equalWidth="0" w:num="2">
            <w:col w:w="300" w:space="260"/>
            <w:col w:w="10460"/>
          </w:cols>
          <w:pgMar w:left="440" w:top="270" w:right="43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CR’</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18"/>
          <w:szCs w:val="18"/>
          <w:color w:val="auto"/>
        </w:rPr>
        <w:t>= the Conversion Rate in effect immediately after the open of business on such Ex-Dividend Date;</w:t>
      </w:r>
    </w:p>
    <w:p>
      <w:pPr>
        <w:spacing w:after="0" w:line="117" w:lineRule="exact"/>
        <w:rPr>
          <w:sz w:val="20"/>
          <w:szCs w:val="20"/>
          <w:color w:val="auto"/>
        </w:rPr>
      </w:pPr>
    </w:p>
    <w:p>
      <w:pPr>
        <w:sectPr>
          <w:pgSz w:w="11900" w:h="16838" w:orient="portrait"/>
          <w:cols w:equalWidth="0" w:num="2">
            <w:col w:w="300" w:space="260"/>
            <w:col w:w="10460"/>
          </w:cols>
          <w:pgMar w:left="440" w:top="270" w:right="43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SP</w:t>
      </w:r>
      <w:r>
        <w:rPr>
          <w:rFonts w:ascii="Times New Roman" w:cs="Times New Roman" w:eastAsia="Times New Roman" w:hAnsi="Times New Roman"/>
          <w:sz w:val="12"/>
          <w:szCs w:val="12"/>
          <w:color w:val="auto"/>
        </w:rPr>
        <w:t>0</w:t>
      </w:r>
    </w:p>
    <w:p>
      <w:pPr>
        <w:spacing w:after="0" w:line="20" w:lineRule="exact"/>
        <w:rPr>
          <w:sz w:val="20"/>
          <w:szCs w:val="20"/>
          <w:color w:val="auto"/>
        </w:rPr>
      </w:pPr>
      <w:r>
        <w:rPr>
          <w:sz w:val="20"/>
          <w:szCs w:val="20"/>
          <w:color w:val="auto"/>
        </w:rPr>
        <w:br w:type="column"/>
      </w:r>
    </w:p>
    <w:p>
      <w:pPr>
        <w:ind w:right="80" w:hanging="219"/>
        <w:spacing w:after="0" w:line="282" w:lineRule="auto"/>
        <w:rPr>
          <w:sz w:val="20"/>
          <w:szCs w:val="20"/>
          <w:color w:val="auto"/>
        </w:rPr>
      </w:pPr>
      <w:r>
        <w:rPr>
          <w:rFonts w:ascii="Times New Roman" w:cs="Times New Roman" w:eastAsia="Times New Roman" w:hAnsi="Times New Roman"/>
          <w:sz w:val="18"/>
          <w:szCs w:val="18"/>
          <w:color w:val="auto"/>
        </w:rPr>
        <w:t>=</w:t>
      </w:r>
      <w:r>
        <w:rPr>
          <w:sz w:val="20"/>
          <w:szCs w:val="20"/>
          <w:color w:val="auto"/>
        </w:rPr>
        <w:t xml:space="preserve"> </w:t>
      </w:r>
      <w:r>
        <w:rPr>
          <w:rFonts w:ascii="Times New Roman" w:cs="Times New Roman" w:eastAsia="Times New Roman" w:hAnsi="Times New Roman"/>
          <w:sz w:val="18"/>
          <w:szCs w:val="18"/>
          <w:color w:val="auto"/>
        </w:rPr>
        <w:t>the average of the Last Reported Sale Prices of the Common Stock over the 10 consecutive Trading Day period ending on, and including, the Trading Day immediately preceding the Ex-Dividend Date for such distribution; and</w:t>
      </w:r>
    </w:p>
    <w:p>
      <w:pPr>
        <w:spacing w:after="0" w:line="54" w:lineRule="exact"/>
        <w:rPr>
          <w:sz w:val="20"/>
          <w:szCs w:val="20"/>
          <w:color w:val="auto"/>
        </w:rPr>
      </w:pPr>
    </w:p>
    <w:p>
      <w:pPr>
        <w:sectPr>
          <w:pgSz w:w="11900" w:h="16838" w:orient="portrait"/>
          <w:cols w:equalWidth="0" w:num="2">
            <w:col w:w="260" w:space="520"/>
            <w:col w:w="10240"/>
          </w:cols>
          <w:pgMar w:left="440" w:top="270" w:right="43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FMV</w:t>
      </w:r>
    </w:p>
    <w:p>
      <w:pPr>
        <w:spacing w:after="0" w:line="20" w:lineRule="exact"/>
        <w:rPr>
          <w:sz w:val="20"/>
          <w:szCs w:val="20"/>
          <w:color w:val="auto"/>
        </w:rPr>
      </w:pPr>
      <w:r>
        <w:rPr>
          <w:sz w:val="20"/>
          <w:szCs w:val="20"/>
          <w:color w:val="auto"/>
        </w:rPr>
        <w:br w:type="column"/>
      </w:r>
    </w:p>
    <w:p>
      <w:pPr>
        <w:ind w:right="460" w:hanging="219"/>
        <w:spacing w:after="0" w:line="282" w:lineRule="auto"/>
        <w:rPr>
          <w:sz w:val="20"/>
          <w:szCs w:val="20"/>
          <w:color w:val="auto"/>
        </w:rPr>
      </w:pPr>
      <w:r>
        <w:rPr>
          <w:rFonts w:ascii="Times New Roman" w:cs="Times New Roman" w:eastAsia="Times New Roman" w:hAnsi="Times New Roman"/>
          <w:sz w:val="18"/>
          <w:szCs w:val="18"/>
          <w:color w:val="auto"/>
        </w:rPr>
        <w:t>=</w:t>
      </w:r>
      <w:r>
        <w:rPr>
          <w:sz w:val="20"/>
          <w:szCs w:val="20"/>
          <w:color w:val="auto"/>
        </w:rPr>
        <w:t xml:space="preserve"> </w:t>
      </w:r>
      <w:r>
        <w:rPr>
          <w:rFonts w:ascii="Times New Roman" w:cs="Times New Roman" w:eastAsia="Times New Roman" w:hAnsi="Times New Roman"/>
          <w:sz w:val="18"/>
          <w:szCs w:val="18"/>
          <w:color w:val="auto"/>
        </w:rPr>
        <w:t>the fair market value (as determined by the Board of Directors) of the Distributed Property with respect to each outstanding share of the Common Stock on the Ex-Dividend Date for such distribution.</w:t>
      </w:r>
    </w:p>
    <w:p>
      <w:pPr>
        <w:spacing w:after="0" w:line="162" w:lineRule="exact"/>
        <w:rPr>
          <w:sz w:val="20"/>
          <w:szCs w:val="20"/>
          <w:color w:val="auto"/>
        </w:rPr>
      </w:pPr>
    </w:p>
    <w:p>
      <w:pPr>
        <w:sectPr>
          <w:pgSz w:w="11900" w:h="16838" w:orient="portrait"/>
          <w:cols w:equalWidth="0" w:num="2">
            <w:col w:w="380" w:space="400"/>
            <w:col w:w="10240"/>
          </w:cols>
          <w:pgMar w:left="440" w:top="270" w:right="439" w:bottom="1440" w:gutter="0" w:footer="0" w:header="0"/>
          <w:type w:val="continuous"/>
        </w:sectPr>
      </w:pPr>
    </w:p>
    <w:p>
      <w:pPr>
        <w:ind w:right="100"/>
        <w:spacing w:after="0" w:line="266" w:lineRule="auto"/>
        <w:rPr>
          <w:sz w:val="20"/>
          <w:szCs w:val="20"/>
          <w:color w:val="auto"/>
        </w:rPr>
      </w:pPr>
      <w:r>
        <w:rPr>
          <w:rFonts w:ascii="Times New Roman" w:cs="Times New Roman" w:eastAsia="Times New Roman" w:hAnsi="Times New Roman"/>
          <w:sz w:val="18"/>
          <w:szCs w:val="18"/>
          <w:color w:val="auto"/>
        </w:rPr>
        <w:t>Any increase made under the portion of this Section 14.04(c) above shall become effective immediately after the open of business on the Ex-Dividend Date for such distribution. If such distribution is not so paid or made, the Conversion Rate shall be decreased to the Conversion Rate that would then be in effect if such distribution had not been declared.</w:t>
      </w:r>
    </w:p>
    <w:p>
      <w:pPr>
        <w:spacing w:after="0" w:line="68" w:lineRule="exact"/>
        <w:rPr>
          <w:sz w:val="20"/>
          <w:szCs w:val="20"/>
          <w:color w:val="auto"/>
        </w:rPr>
      </w:pPr>
    </w:p>
    <w:p>
      <w:pPr>
        <w:ind w:firstLine="440"/>
        <w:spacing w:after="0" w:line="256" w:lineRule="auto"/>
        <w:rPr>
          <w:sz w:val="20"/>
          <w:szCs w:val="20"/>
          <w:color w:val="auto"/>
        </w:rPr>
      </w:pPr>
      <w:r>
        <w:rPr>
          <w:rFonts w:ascii="Times New Roman" w:cs="Times New Roman" w:eastAsia="Times New Roman" w:hAnsi="Times New Roman"/>
          <w:sz w:val="18"/>
          <w:szCs w:val="18"/>
          <w:color w:val="auto"/>
        </w:rPr>
        <w:t>Notwithstanding the foregoing, if “FMV” (as defined above) is equal to or greater than “SP</w:t>
      </w:r>
      <w:r>
        <w:rPr>
          <w:rFonts w:ascii="Times New Roman" w:cs="Times New Roman" w:eastAsia="Times New Roman" w:hAnsi="Times New Roman"/>
          <w:sz w:val="26"/>
          <w:szCs w:val="26"/>
          <w:color w:val="auto"/>
          <w:vertAlign w:val="subscript"/>
        </w:rPr>
        <w:t>0</w:t>
      </w:r>
      <w:r>
        <w:rPr>
          <w:rFonts w:ascii="Times New Roman" w:cs="Times New Roman" w:eastAsia="Times New Roman" w:hAnsi="Times New Roman"/>
          <w:sz w:val="18"/>
          <w:szCs w:val="18"/>
          <w:color w:val="auto"/>
        </w:rPr>
        <w:t>” (as defined above), in lieu of the foregoing increase, each Holder of a Note shall receive, in respect of each $1,000 principal amount thereof, at the same time and upon the same terms as holders of the Common Stock receive the Distributed Property, the amount and kind of Distributed Property such Holder would have received if such Holder owned a number of shares of Common Stock equal to the Conversion Rate in effect on the Ex-Dividend Date for the distribution. If the Board of Directors determines the “FMV” (as defined above) of any distribution for purposes of this Section 14.04(c) by reference to the actual or when-issued trading market for any securities, it shall in doing so consider the prices in such market over the same period used in computing the Last Reported Sale Prices of the Common Stock over the 10 consecutive Trading Day period ending on, and including, the Trading Day immediately preceding the Ex-Dividend Date for such distribution.</w:t>
      </w:r>
    </w:p>
    <w:p>
      <w:pPr>
        <w:spacing w:after="0" w:line="11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70</w:t>
      </w:r>
    </w:p>
    <w:p>
      <w:pPr>
        <w:sectPr>
          <w:pgSz w:w="11900" w:h="16838" w:orient="portrait"/>
          <w:cols w:equalWidth="0" w:num="1">
            <w:col w:w="11020"/>
          </w:cols>
          <w:pgMar w:left="440" w:top="270" w:right="439" w:bottom="1440" w:gutter="0" w:footer="0" w:header="0"/>
          <w:type w:val="continuous"/>
        </w:sectPr>
      </w:pPr>
    </w:p>
    <w:bookmarkStart w:id="81" w:name="page82"/>
    <w:bookmarkEnd w:id="81"/>
    <w:p>
      <w:pPr>
        <w:jc w:val="both"/>
        <w:ind w:firstLine="44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3">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With respect to an adjustment pursuant to this Section 14.04(c) where there has been a payment of a dividend or other distribution on the Common Stock of shares of Capital Stock of any class or series, or similar equity interest, of or relating to a Subsidiary or other business unit of the Company, that are, or, when issued, will be, listed or admitted for trading on a U.S. national securities exchange (a “</w:t>
      </w:r>
      <w:r>
        <w:rPr>
          <w:rFonts w:ascii="Times New Roman" w:cs="Times New Roman" w:eastAsia="Times New Roman" w:hAnsi="Times New Roman"/>
          <w:sz w:val="18"/>
          <w:szCs w:val="18"/>
          <w:b w:val="1"/>
          <w:bCs w:val="1"/>
          <w:color w:val="auto"/>
        </w:rPr>
        <w:t>Spin-Off</w:t>
      </w:r>
      <w:r>
        <w:rPr>
          <w:rFonts w:ascii="Times New Roman" w:cs="Times New Roman" w:eastAsia="Times New Roman" w:hAnsi="Times New Roman"/>
          <w:sz w:val="18"/>
          <w:szCs w:val="18"/>
          <w:color w:val="auto"/>
        </w:rPr>
        <w:t>”), the Conversion Rate shall be increased based on the following formula: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2774950</wp:posOffset>
            </wp:positionH>
            <wp:positionV relativeFrom="paragraph">
              <wp:posOffset>142875</wp:posOffset>
            </wp:positionV>
            <wp:extent cx="1448435" cy="386080"/>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4">
                      <a:extLst>
                        <a:ext uri="{28A0092B-C50C-407E-A947-70E740481C1C}"/>
                      </a:extLst>
                    </a:blip>
                    <a:srcRect/>
                    <a:stretch>
                      <a:fillRect/>
                    </a:stretch>
                  </pic:blipFill>
                  <pic:spPr bwMode="auto">
                    <a:xfrm>
                      <a:off x="0" y="0"/>
                      <a:ext cx="1448435" cy="386080"/>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1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where,</w:t>
      </w:r>
    </w:p>
    <w:p>
      <w:pPr>
        <w:sectPr>
          <w:pgSz w:w="11900" w:h="16838" w:orient="portrait"/>
          <w:cols w:equalWidth="0" w:num="1">
            <w:col w:w="11000"/>
          </w:cols>
          <w:pgMar w:left="440" w:top="270" w:right="459" w:bottom="1440" w:gutter="0" w:footer="0" w:header="0"/>
        </w:sectPr>
      </w:pPr>
    </w:p>
    <w:p>
      <w:pPr>
        <w:spacing w:after="0" w:line="252"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color w:val="auto"/>
        </w:rPr>
        <w:t>CR</w:t>
      </w:r>
      <w:r>
        <w:rPr>
          <w:rFonts w:ascii="Times New Roman" w:cs="Times New Roman" w:eastAsia="Times New Roman" w:hAnsi="Times New Roman"/>
          <w:sz w:val="12"/>
          <w:szCs w:val="12"/>
          <w:color w:val="auto"/>
        </w:rPr>
        <w:t>0</w:t>
      </w:r>
    </w:p>
    <w:p>
      <w:pPr>
        <w:spacing w:after="0" w:line="20" w:lineRule="exact"/>
        <w:rPr>
          <w:sz w:val="20"/>
          <w:szCs w:val="20"/>
          <w:color w:val="auto"/>
        </w:rPr>
      </w:pPr>
      <w:r>
        <w:rPr>
          <w:sz w:val="20"/>
          <w:szCs w:val="20"/>
          <w:color w:val="auto"/>
        </w:rPr>
        <w:br w:type="column"/>
      </w:r>
    </w:p>
    <w:p>
      <w:pPr>
        <w:spacing w:after="0" w:line="23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 the Conversion Rate in effect immediately prior to the end of the Valuation Period;</w:t>
      </w:r>
    </w:p>
    <w:p>
      <w:pPr>
        <w:spacing w:after="0" w:line="117" w:lineRule="exact"/>
        <w:rPr>
          <w:sz w:val="20"/>
          <w:szCs w:val="20"/>
          <w:color w:val="auto"/>
        </w:rPr>
      </w:pPr>
    </w:p>
    <w:p>
      <w:pPr>
        <w:sectPr>
          <w:pgSz w:w="11900" w:h="16838" w:orient="portrait"/>
          <w:cols w:equalWidth="0" w:num="2">
            <w:col w:w="300" w:space="380"/>
            <w:col w:w="10320"/>
          </w:cols>
          <w:pgMar w:left="440" w:top="270" w:right="45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CR’</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18"/>
          <w:szCs w:val="18"/>
          <w:color w:val="auto"/>
        </w:rPr>
        <w:t>= the Conversion Rate in effect immediately after the end of the Valuation Period;</w:t>
      </w:r>
    </w:p>
    <w:p>
      <w:pPr>
        <w:spacing w:after="0" w:line="117" w:lineRule="exact"/>
        <w:rPr>
          <w:sz w:val="20"/>
          <w:szCs w:val="20"/>
          <w:color w:val="auto"/>
        </w:rPr>
      </w:pPr>
    </w:p>
    <w:p>
      <w:pPr>
        <w:sectPr>
          <w:pgSz w:w="11900" w:h="16838" w:orient="portrait"/>
          <w:cols w:equalWidth="0" w:num="2">
            <w:col w:w="300" w:space="380"/>
            <w:col w:w="10320"/>
          </w:cols>
          <w:pgMar w:left="440" w:top="270" w:right="459" w:bottom="1440" w:gutter="0" w:footer="0" w:header="0"/>
          <w:type w:val="continuous"/>
        </w:sectPr>
      </w:pPr>
    </w:p>
    <w:p>
      <w:pPr>
        <w:spacing w:after="0"/>
        <w:rPr>
          <w:sz w:val="20"/>
          <w:szCs w:val="20"/>
          <w:color w:val="auto"/>
        </w:rPr>
      </w:pPr>
      <w:r>
        <w:rPr>
          <w:rFonts w:ascii="Times New Roman" w:cs="Times New Roman" w:eastAsia="Times New Roman" w:hAnsi="Times New Roman"/>
          <w:sz w:val="18"/>
          <w:szCs w:val="18"/>
          <w:color w:val="auto"/>
        </w:rPr>
        <w:t>FMV</w:t>
      </w:r>
      <w:r>
        <w:rPr>
          <w:rFonts w:ascii="Times New Roman" w:cs="Times New Roman" w:eastAsia="Times New Roman" w:hAnsi="Times New Roman"/>
          <w:sz w:val="13"/>
          <w:szCs w:val="13"/>
          <w:color w:val="auto"/>
        </w:rPr>
        <w:t>0</w:t>
      </w:r>
    </w:p>
    <w:p>
      <w:pPr>
        <w:spacing w:after="0" w:line="20" w:lineRule="exact"/>
        <w:rPr>
          <w:sz w:val="20"/>
          <w:szCs w:val="20"/>
          <w:color w:val="auto"/>
        </w:rPr>
      </w:pPr>
      <w:r>
        <w:rPr>
          <w:sz w:val="20"/>
          <w:szCs w:val="20"/>
          <w:color w:val="auto"/>
        </w:rPr>
        <w:br w:type="column"/>
      </w:r>
    </w:p>
    <w:p>
      <w:pPr>
        <w:ind w:right="260" w:hanging="199"/>
        <w:spacing w:after="0" w:line="261" w:lineRule="auto"/>
        <w:rPr>
          <w:sz w:val="20"/>
          <w:szCs w:val="20"/>
          <w:color w:val="auto"/>
        </w:rPr>
      </w:pPr>
      <w:r>
        <w:rPr>
          <w:rFonts w:ascii="Times New Roman" w:cs="Times New Roman" w:eastAsia="Times New Roman" w:hAnsi="Times New Roman"/>
          <w:sz w:val="18"/>
          <w:szCs w:val="18"/>
          <w:color w:val="auto"/>
        </w:rPr>
        <w:t>=</w:t>
      </w:r>
      <w:r>
        <w:rPr>
          <w:sz w:val="20"/>
          <w:szCs w:val="20"/>
          <w:color w:val="auto"/>
        </w:rPr>
        <w:t xml:space="preserve"> </w:t>
      </w:r>
      <w:r>
        <w:rPr>
          <w:rFonts w:ascii="Times New Roman" w:cs="Times New Roman" w:eastAsia="Times New Roman" w:hAnsi="Times New Roman"/>
          <w:sz w:val="18"/>
          <w:szCs w:val="18"/>
          <w:color w:val="auto"/>
        </w:rPr>
        <w:t>the average of the Last Reported Sale Prices of the Capital Stock or similar equity interest distributed to holders of the Common Stock applicable to one share of the Common Stock (determined by reference to the definition of Last Reported Sale Price as set forth in Section 1.01 as if references therein to Common Stock were to such Capital Stock or similar equity interest) over the first 10 consecutive Trading Day period after, and including, the Ex-Dividend Date of the Spin-Off (the “</w:t>
      </w:r>
      <w:r>
        <w:rPr>
          <w:rFonts w:ascii="Times New Roman" w:cs="Times New Roman" w:eastAsia="Times New Roman" w:hAnsi="Times New Roman"/>
          <w:sz w:val="18"/>
          <w:szCs w:val="18"/>
          <w:b w:val="1"/>
          <w:bCs w:val="1"/>
          <w:color w:val="auto"/>
        </w:rPr>
        <w:t>Valuation Period</w:t>
      </w:r>
      <w:r>
        <w:rPr>
          <w:rFonts w:ascii="Times New Roman" w:cs="Times New Roman" w:eastAsia="Times New Roman" w:hAnsi="Times New Roman"/>
          <w:sz w:val="18"/>
          <w:szCs w:val="18"/>
          <w:color w:val="auto"/>
        </w:rPr>
        <w:t>”); and</w:t>
      </w:r>
    </w:p>
    <w:p>
      <w:pPr>
        <w:spacing w:after="0" w:line="72" w:lineRule="exact"/>
        <w:rPr>
          <w:sz w:val="20"/>
          <w:szCs w:val="20"/>
          <w:color w:val="auto"/>
        </w:rPr>
      </w:pPr>
    </w:p>
    <w:p>
      <w:pPr>
        <w:sectPr>
          <w:pgSz w:w="11900" w:h="16838" w:orient="portrait"/>
          <w:cols w:equalWidth="0" w:num="2">
            <w:col w:w="460" w:space="420"/>
            <w:col w:w="10120"/>
          </w:cols>
          <w:pgMar w:left="440" w:top="270" w:right="45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MP</w:t>
      </w:r>
      <w:r>
        <w:rPr>
          <w:rFonts w:ascii="Times New Roman" w:cs="Times New Roman" w:eastAsia="Times New Roman" w:hAnsi="Times New Roman"/>
          <w:sz w:val="12"/>
          <w:szCs w:val="12"/>
          <w:color w:val="auto"/>
        </w:rPr>
        <w:t>0</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18"/>
          <w:szCs w:val="18"/>
          <w:color w:val="auto"/>
        </w:rPr>
        <w:t>= the average of the Last Reported Sale Prices of the Common Stock over the Valuation Period.</w:t>
      </w:r>
    </w:p>
    <w:p>
      <w:pPr>
        <w:spacing w:after="0" w:line="200" w:lineRule="exact"/>
        <w:rPr>
          <w:sz w:val="20"/>
          <w:szCs w:val="20"/>
          <w:color w:val="auto"/>
        </w:rPr>
      </w:pPr>
    </w:p>
    <w:p>
      <w:pPr>
        <w:sectPr>
          <w:pgSz w:w="11900" w:h="16838" w:orient="portrait"/>
          <w:cols w:equalWidth="0" w:num="2">
            <w:col w:w="320" w:space="360"/>
            <w:col w:w="10320"/>
          </w:cols>
          <w:pgMar w:left="440" w:top="270" w:right="459" w:bottom="1440" w:gutter="0" w:footer="0" w:header="0"/>
          <w:type w:val="continuous"/>
        </w:sectPr>
      </w:pPr>
    </w:p>
    <w:p>
      <w:pPr>
        <w:spacing w:after="0" w:line="25" w:lineRule="exact"/>
        <w:rPr>
          <w:sz w:val="20"/>
          <w:szCs w:val="20"/>
          <w:color w:val="auto"/>
        </w:rPr>
      </w:pPr>
    </w:p>
    <w:p>
      <w:pPr>
        <w:ind w:right="120" w:firstLine="440"/>
        <w:spacing w:after="0" w:line="270" w:lineRule="auto"/>
        <w:rPr>
          <w:sz w:val="20"/>
          <w:szCs w:val="20"/>
          <w:color w:val="auto"/>
        </w:rPr>
      </w:pPr>
      <w:r>
        <w:rPr>
          <w:rFonts w:ascii="Times New Roman" w:cs="Times New Roman" w:eastAsia="Times New Roman" w:hAnsi="Times New Roman"/>
          <w:sz w:val="17"/>
          <w:szCs w:val="17"/>
          <w:color w:val="auto"/>
        </w:rPr>
        <w:t xml:space="preserve">The increase to the Conversion Rate under the preceding paragraph shall occur at the close of business on the last Trading Day of the Valuation Period;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 xml:space="preserve"> that (x) in respect of any conversion of Notes for which Physical Settlement is applicable, if the relevant Conversion Date occurs during the Valuation Period, references to “10” in the preceding paragraph shall be deemed to be replaced with such lesser number of Trading Days as have elapsed from, and including, the Ex-Dividend Date of such Spin-Off to, and including, the Conversion Date in determining the Conversion Rate and (y) in respect of any conversion of Notes for which Cash Settlement or Combination Settlement is applicable, for any Trading Day that falls within the relevant Observation Period for such conversion and within the Valuation Period, references to “10” in the preceding paragraph shall be deemed to be replaced with such lesser number of Trading Days as have elapsed from, and including, the Ex-Dividend Date of such Spin-Off to, and including, such Trading Day in determining the Conversion Rate as of such Trading Day. If any dividend or distribution that constitutes a Spin-Off is declared but not so paid or made, the Conversion Rate shall be immediately decreased, as of the date the Board of Directors determines not to pay or make such dividend or distribution, to the Conversion Rate that would then be in effect if such dividend or distribution had not been declared or announced.</w:t>
      </w:r>
    </w:p>
    <w:p>
      <w:pPr>
        <w:spacing w:after="0" w:line="10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71</w:t>
      </w:r>
    </w:p>
    <w:p>
      <w:pPr>
        <w:sectPr>
          <w:pgSz w:w="11900" w:h="16838" w:orient="portrait"/>
          <w:cols w:equalWidth="0" w:num="1">
            <w:col w:w="11000"/>
          </w:cols>
          <w:pgMar w:left="440" w:top="270" w:right="459" w:bottom="1440" w:gutter="0" w:footer="0" w:header="0"/>
          <w:type w:val="continuous"/>
        </w:sectPr>
      </w:pPr>
    </w:p>
    <w:bookmarkStart w:id="82" w:name="page83"/>
    <w:bookmarkEnd w:id="82"/>
    <w:p>
      <w:pPr>
        <w:ind w:firstLine="440"/>
        <w:spacing w:after="0" w:line="267" w:lineRule="auto"/>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For purposes of this Section 14.04(c) (and subject in all respect to Section 14.11), rights, options or warrants distributed by the Company to all holders of the Common Stock entitling them to subscribe for or purchase shares of the Company’s Capital Stock, including Common Stock (either initially or under certain circumstances), which rights, options or warrants, until the occurrence of a specified event or events (“</w:t>
      </w:r>
      <w:r>
        <w:rPr>
          <w:rFonts w:ascii="Times New Roman" w:cs="Times New Roman" w:eastAsia="Times New Roman" w:hAnsi="Times New Roman"/>
          <w:sz w:val="17"/>
          <w:szCs w:val="17"/>
          <w:b w:val="1"/>
          <w:bCs w:val="1"/>
          <w:color w:val="auto"/>
        </w:rPr>
        <w:t>Trigger Event</w:t>
      </w:r>
      <w:r>
        <w:rPr>
          <w:rFonts w:ascii="Times New Roman" w:cs="Times New Roman" w:eastAsia="Times New Roman" w:hAnsi="Times New Roman"/>
          <w:sz w:val="17"/>
          <w:szCs w:val="17"/>
          <w:color w:val="auto"/>
        </w:rPr>
        <w:t>”): (i) are deemed to be transferred with such shares of the Common Stock; (ii) are not exercisable; and (iii) are also issued in respect of future issuances of the Common Stock, shall be deemed not to have been distributed for purposes of this Section 14.04(c) (and no adjustment to the Conversion Rate under this Section 14.04(c) will be required) until the occurrence of the earliest Trigger Event, whereupon such rights, options or warrants shall be deemed to have been distributed and an appropriate adjustment (if any is required) to the Conversion Rate shall be made under this Section 14.04(c). If any such right, option or warrant, including any such existing rights, options or warrants distributed prior to the date of this Indenture, are subject to events, upon the occurrence of which such rights, options or warrants become exercisable to purchase different securities, evidences of indebtedness or other assets, then the date of the occurrence of any and each such event shall be deemed to be the date of distribution and Ex-Dividend Date with respect to new rights, options or warrants with such rights (in which case the existing rights, options or warrants shall be deemed to terminate and expire on such date without exercise by any of the holders thereof). In addition, in the event of any distribution (or deemed distribution) of rights, options or warrants, or any Trigger Event or other event (of the type described in the immediately preceding sentence) with respect thereto that was counted for purposes of calculating a distribution amount for which an adjustment to the Conversion Rate under this Section 14.04(c) was made, (1) in the case of any such rights, options or warrants that shall all have been redeemed or purchased without exercise by any holders thereof, upon such final redemption or purchase (x) the Conversion Rate shall be readjusted as if such rights, options or warrants had not been issued and (y) the Conversion Rate shall then again be readjusted to give effect to such distribution, deemed distribution or Trigger Event, as the case may be, as though it were a cash distribution, equal to the per share redemption or purchase price received by a holder or holders of Common Stock with respect to such rights, options or warrants (assuming such holder had retained such rights, options or warrants), made to all holders of Common Stock as of the date of such redemption or purchase, and (2) in the case of such rights, options or warrants that shall have expired or been terminated without exercise by any holders thereof, the Conversion Rate shall be readjusted to the Conversion Rate that would then be in effect had the increase made for the distribution of such rights, options or warrants been made on the basis of delivery of only the number of shares of the Common Stock actually delivered upon exercise of such rights, options or warrants.</w:t>
      </w:r>
    </w:p>
    <w:p>
      <w:pPr>
        <w:spacing w:after="0" w:line="200" w:lineRule="exact"/>
        <w:rPr>
          <w:sz w:val="20"/>
          <w:szCs w:val="20"/>
          <w:color w:val="auto"/>
        </w:rPr>
      </w:pPr>
    </w:p>
    <w:p>
      <w:pPr>
        <w:spacing w:after="0" w:line="201" w:lineRule="exact"/>
        <w:rPr>
          <w:sz w:val="20"/>
          <w:szCs w:val="20"/>
          <w:color w:val="auto"/>
        </w:rPr>
      </w:pPr>
    </w:p>
    <w:p>
      <w:pPr>
        <w:ind w:right="440" w:firstLine="440"/>
        <w:spacing w:after="0" w:line="282" w:lineRule="auto"/>
        <w:rPr>
          <w:sz w:val="20"/>
          <w:szCs w:val="20"/>
          <w:color w:val="auto"/>
        </w:rPr>
      </w:pPr>
      <w:r>
        <w:rPr>
          <w:rFonts w:ascii="Times New Roman" w:cs="Times New Roman" w:eastAsia="Times New Roman" w:hAnsi="Times New Roman"/>
          <w:sz w:val="18"/>
          <w:szCs w:val="18"/>
          <w:color w:val="auto"/>
        </w:rPr>
        <w:t>For purposes of Section 14.04(a), Section 14.04(b) and this Section 14.04(c), if any dividend or distribution to which this Section 14.04(c) is applicable also includes one or both of:</w:t>
      </w:r>
    </w:p>
    <w:p>
      <w:pPr>
        <w:spacing w:after="0" w:line="158" w:lineRule="exact"/>
        <w:rPr>
          <w:sz w:val="20"/>
          <w:szCs w:val="20"/>
          <w:color w:val="auto"/>
        </w:rPr>
      </w:pPr>
    </w:p>
    <w:p>
      <w:pPr>
        <w:jc w:val="center"/>
        <w:ind w:left="5420" w:right="1020" w:hanging="4984"/>
        <w:spacing w:after="0" w:line="458" w:lineRule="auto"/>
        <w:tabs>
          <w:tab w:leader="none" w:pos="737" w:val="left"/>
        </w:tabs>
        <w:numPr>
          <w:ilvl w:val="0"/>
          <w:numId w:val="6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dividend or distribution of shares of Common Stock to which Section 14.04(a) is applicable (the “</w:t>
      </w:r>
      <w:r>
        <w:rPr>
          <w:rFonts w:ascii="Times New Roman" w:cs="Times New Roman" w:eastAsia="Times New Roman" w:hAnsi="Times New Roman"/>
          <w:sz w:val="18"/>
          <w:szCs w:val="18"/>
          <w:b w:val="1"/>
          <w:bCs w:val="1"/>
          <w:color w:val="auto"/>
        </w:rPr>
        <w:t>Clause A Distribution</w:t>
      </w:r>
      <w:r>
        <w:rPr>
          <w:rFonts w:ascii="Times New Roman" w:cs="Times New Roman" w:eastAsia="Times New Roman" w:hAnsi="Times New Roman"/>
          <w:sz w:val="18"/>
          <w:szCs w:val="18"/>
          <w:color w:val="auto"/>
        </w:rPr>
        <w:t>”); or 72</w:t>
      </w:r>
    </w:p>
    <w:p>
      <w:pPr>
        <w:sectPr>
          <w:pgSz w:w="11900" w:h="16838" w:orient="portrait"/>
          <w:cols w:equalWidth="0" w:num="1">
            <w:col w:w="11000"/>
          </w:cols>
          <w:pgMar w:left="440" w:top="270" w:right="459" w:bottom="1440" w:gutter="0" w:footer="0" w:header="0"/>
        </w:sectPr>
      </w:pPr>
    </w:p>
    <w:bookmarkStart w:id="83" w:name="page84"/>
    <w:bookmarkEnd w:id="83"/>
    <w:p>
      <w:pPr>
        <w:ind w:left="444"/>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(B) a dividend or distribution of rights, options or warrants to which Section 14.04(b) is applicable (the “</w:t>
      </w:r>
      <w:r>
        <w:rPr>
          <w:rFonts w:ascii="Times New Roman" w:cs="Times New Roman" w:eastAsia="Times New Roman" w:hAnsi="Times New Roman"/>
          <w:sz w:val="18"/>
          <w:szCs w:val="18"/>
          <w:b w:val="1"/>
          <w:bCs w:val="1"/>
          <w:color w:val="auto"/>
        </w:rPr>
        <w:t>Clause B Distribution</w:t>
      </w:r>
      <w:r>
        <w:rPr>
          <w:rFonts w:ascii="Times New Roman" w:cs="Times New Roman" w:eastAsia="Times New Roman" w:hAnsi="Times New Roman"/>
          <w:sz w:val="18"/>
          <w:szCs w:val="18"/>
          <w:color w:val="auto"/>
        </w:rPr>
        <w:t>”),</w:t>
      </w:r>
    </w:p>
    <w:p>
      <w:pPr>
        <w:spacing w:after="0" w:line="229" w:lineRule="exact"/>
        <w:rPr>
          <w:sz w:val="20"/>
          <w:szCs w:val="20"/>
          <w:color w:val="auto"/>
        </w:rPr>
      </w:pPr>
    </w:p>
    <w:p>
      <w:pPr>
        <w:ind w:left="4"/>
        <w:spacing w:after="0" w:line="254" w:lineRule="auto"/>
        <w:rPr>
          <w:sz w:val="20"/>
          <w:szCs w:val="20"/>
          <w:color w:val="auto"/>
        </w:rPr>
      </w:pPr>
      <w:r>
        <w:rPr>
          <w:rFonts w:ascii="Times New Roman" w:cs="Times New Roman" w:eastAsia="Times New Roman" w:hAnsi="Times New Roman"/>
          <w:sz w:val="18"/>
          <w:szCs w:val="18"/>
          <w:color w:val="auto"/>
        </w:rPr>
        <w:t>then, in either case, (1) such dividend or distribution, other than the Clause A Distribution and the Clause B Distribution, shall be deemed to be a dividend or distribution to which this Section 14.04(c) is applicable (the “</w:t>
      </w:r>
      <w:r>
        <w:rPr>
          <w:rFonts w:ascii="Times New Roman" w:cs="Times New Roman" w:eastAsia="Times New Roman" w:hAnsi="Times New Roman"/>
          <w:sz w:val="18"/>
          <w:szCs w:val="18"/>
          <w:b w:val="1"/>
          <w:bCs w:val="1"/>
          <w:color w:val="auto"/>
        </w:rPr>
        <w:t>Clause C Distribution</w:t>
      </w:r>
      <w:r>
        <w:rPr>
          <w:rFonts w:ascii="Times New Roman" w:cs="Times New Roman" w:eastAsia="Times New Roman" w:hAnsi="Times New Roman"/>
          <w:sz w:val="18"/>
          <w:szCs w:val="18"/>
          <w:color w:val="auto"/>
        </w:rPr>
        <w:t>”) and any Conversion Rate adjustment required by this Section 14.04(c) with respect to such Clause C Distribution shall then be made, and (2) the Clause A Distribution and Clause B Distribution shall be deemed to immediately follow the Clause C Distribution and any Conversion Rate adjustment required by Section 14.04(a) and Section 14.04(b) with respect thereto shall then be made, except that, if determined by the Company (I) the “Ex-Dividend Date” of the Clause A Distribution and the Clause B Distribution shall be deemed to be the Ex-Dividend Date of the Clause C Distribution and (II) any shares of Common Stock included in the Clause A Distribution or Clause B Distribution shall be deemed not to be “outstanding immediately prior to the open of business on such Ex-Dividend Date or Effective Date” within the meaning of Section 14.04(a) or “outstanding immediately prior to the open of business on such Ex-Dividend Date” within the meaning of Section 14.04(b).</w:t>
      </w:r>
    </w:p>
    <w:p>
      <w:pPr>
        <w:spacing w:after="0" w:line="188" w:lineRule="exact"/>
        <w:rPr>
          <w:sz w:val="20"/>
          <w:szCs w:val="20"/>
          <w:color w:val="auto"/>
        </w:rPr>
      </w:pPr>
    </w:p>
    <w:p>
      <w:pPr>
        <w:ind w:left="4" w:right="360" w:firstLine="436"/>
        <w:spacing w:after="0" w:line="282" w:lineRule="auto"/>
        <w:tabs>
          <w:tab w:leader="none" w:pos="699" w:val="left"/>
        </w:tabs>
        <w:numPr>
          <w:ilvl w:val="0"/>
          <w:numId w:val="6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any cash dividend or distribution is made to all or substantially all holders of the Common Stock, the Conversion Rate shall be adjusted based on the following formula: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2897505</wp:posOffset>
            </wp:positionH>
            <wp:positionV relativeFrom="paragraph">
              <wp:posOffset>131445</wp:posOffset>
            </wp:positionV>
            <wp:extent cx="1200150" cy="38608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7">
                      <a:extLst>
                        <a:ext uri="{28A0092B-C50C-407E-A947-70E740481C1C}"/>
                      </a:extLst>
                    </a:blip>
                    <a:srcRect/>
                    <a:stretch>
                      <a:fillRect/>
                    </a:stretch>
                  </pic:blipFill>
                  <pic:spPr bwMode="auto">
                    <a:xfrm>
                      <a:off x="0" y="0"/>
                      <a:ext cx="1200150" cy="386080"/>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92" w:lineRule="exact"/>
        <w:rPr>
          <w:sz w:val="20"/>
          <w:szCs w:val="20"/>
          <w:color w:val="auto"/>
        </w:rPr>
      </w:pPr>
    </w:p>
    <w:tbl>
      <w:tblPr>
        <w:tblLayout w:type="fixed"/>
        <w:tblInd w:w="4" w:type="dxa"/>
        <w:tblCellMar>
          <w:top w:w="0" w:type="dxa"/>
          <w:left w:w="0" w:type="dxa"/>
          <w:bottom w:w="0" w:type="dxa"/>
          <w:right w:w="0" w:type="dxa"/>
        </w:tblCellMar>
      </w:tblPr>
      <w:tr>
        <w:trPr>
          <w:trHeight w:val="234"/>
        </w:trPr>
        <w:tc>
          <w:tcPr>
            <w:tcW w:w="60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where,</w:t>
            </w:r>
          </w:p>
        </w:tc>
        <w:tc>
          <w:tcPr>
            <w:tcW w:w="10000" w:type="dxa"/>
            <w:vAlign w:val="bottom"/>
          </w:tcPr>
          <w:p>
            <w:pPr>
              <w:spacing w:after="0"/>
              <w:rPr>
                <w:sz w:val="20"/>
                <w:szCs w:val="20"/>
                <w:color w:val="auto"/>
              </w:rPr>
            </w:pPr>
          </w:p>
        </w:tc>
      </w:tr>
      <w:tr>
        <w:trPr>
          <w:trHeight w:val="472"/>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CR</w:t>
            </w:r>
            <w:r>
              <w:rPr>
                <w:rFonts w:ascii="Times New Roman" w:cs="Times New Roman" w:eastAsia="Times New Roman" w:hAnsi="Times New Roman"/>
                <w:sz w:val="26"/>
                <w:szCs w:val="26"/>
                <w:color w:val="auto"/>
                <w:vertAlign w:val="subscript"/>
              </w:rPr>
              <w:t>0</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00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the Conversion Rate in effect immediately prior to the open of business on the Ex-Dividend Date for such dividend or distribution;</w:t>
            </w:r>
          </w:p>
        </w:tc>
      </w:tr>
      <w:tr>
        <w:trPr>
          <w:trHeight w:val="311"/>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CR’</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00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the Conversion Rate in effect immediately after the open of business on the Ex-Dividend Date for such dividend or distribution;</w:t>
            </w:r>
          </w:p>
        </w:tc>
      </w:tr>
      <w:tr>
        <w:trPr>
          <w:trHeight w:val="306"/>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SP</w:t>
            </w:r>
            <w:r>
              <w:rPr>
                <w:rFonts w:ascii="Times New Roman" w:cs="Times New Roman" w:eastAsia="Times New Roman" w:hAnsi="Times New Roman"/>
                <w:sz w:val="26"/>
                <w:szCs w:val="26"/>
                <w:color w:val="auto"/>
                <w:vertAlign w:val="subscript"/>
              </w:rPr>
              <w:t>0</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000" w:type="dxa"/>
            <w:vAlign w:val="bottom"/>
          </w:tcPr>
          <w:p>
            <w:pPr>
              <w:ind w:left="60"/>
              <w:spacing w:after="0"/>
              <w:rPr>
                <w:sz w:val="20"/>
                <w:szCs w:val="20"/>
                <w:color w:val="auto"/>
              </w:rPr>
            </w:pPr>
            <w:r>
              <w:rPr>
                <w:rFonts w:ascii="Times New Roman" w:cs="Times New Roman" w:eastAsia="Times New Roman" w:hAnsi="Times New Roman"/>
                <w:sz w:val="18"/>
                <w:szCs w:val="18"/>
                <w:color w:val="auto"/>
                <w:w w:val="99"/>
              </w:rPr>
              <w:t>the Last Reported Sale Price of the Common Stock on the Trading Day immediately preceding the Ex-Dividend Date for such dividend or</w:t>
            </w:r>
          </w:p>
        </w:tc>
      </w:tr>
      <w:tr>
        <w:trPr>
          <w:trHeight w:val="234"/>
        </w:trPr>
        <w:tc>
          <w:tcPr>
            <w:tcW w:w="3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00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distribution; and</w:t>
            </w:r>
          </w:p>
        </w:tc>
      </w:tr>
    </w:tbl>
    <w:p>
      <w:pPr>
        <w:spacing w:after="0" w:line="90" w:lineRule="exact"/>
        <w:rPr>
          <w:sz w:val="20"/>
          <w:szCs w:val="20"/>
          <w:color w:val="auto"/>
        </w:rPr>
      </w:pPr>
    </w:p>
    <w:p>
      <w:pPr>
        <w:ind w:left="444" w:hanging="444"/>
        <w:spacing w:after="0"/>
        <w:tabs>
          <w:tab w:leader="none" w:pos="444" w:val="left"/>
        </w:tabs>
        <w:numPr>
          <w:ilvl w:val="0"/>
          <w:numId w:val="6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the amount in cash per share the Company distributes to all or substantially all holders of the Common Stock.</w:t>
      </w:r>
    </w:p>
    <w:p>
      <w:pPr>
        <w:spacing w:after="0" w:line="225" w:lineRule="exact"/>
        <w:rPr>
          <w:sz w:val="20"/>
          <w:szCs w:val="20"/>
          <w:color w:val="auto"/>
        </w:rPr>
      </w:pPr>
    </w:p>
    <w:p>
      <w:pPr>
        <w:ind w:left="4"/>
        <w:spacing w:after="0" w:line="238" w:lineRule="auto"/>
        <w:rPr>
          <w:sz w:val="20"/>
          <w:szCs w:val="20"/>
          <w:color w:val="auto"/>
        </w:rPr>
      </w:pPr>
      <w:r>
        <w:rPr>
          <w:rFonts w:ascii="Times New Roman" w:cs="Times New Roman" w:eastAsia="Times New Roman" w:hAnsi="Times New Roman"/>
          <w:sz w:val="18"/>
          <w:szCs w:val="18"/>
          <w:color w:val="auto"/>
        </w:rPr>
        <w:t>Any increase pursuant to this Section 14.04(d) shall become effective immediately after the open of business on the Ex-Dividend Date for such dividend or distribution. If such dividend or distribution is not so paid, the Conversion Rate shall be decreased, effective as of the date the Board of Directors determines not to make or pay such dividend or distribution, to be the Conversion Rate that would then be in effect if such dividend or distribution had not been declared. Notwithstanding the foregoing, if “C” (as defined above) is equal to or greater than “SP</w:t>
      </w:r>
      <w:r>
        <w:rPr>
          <w:rFonts w:ascii="Times New Roman" w:cs="Times New Roman" w:eastAsia="Times New Roman" w:hAnsi="Times New Roman"/>
          <w:sz w:val="26"/>
          <w:szCs w:val="26"/>
          <w:color w:val="auto"/>
          <w:vertAlign w:val="subscript"/>
        </w:rPr>
        <w:t>0</w:t>
      </w:r>
      <w:r>
        <w:rPr>
          <w:rFonts w:ascii="Times New Roman" w:cs="Times New Roman" w:eastAsia="Times New Roman" w:hAnsi="Times New Roman"/>
          <w:sz w:val="18"/>
          <w:szCs w:val="18"/>
          <w:color w:val="auto"/>
        </w:rPr>
        <w:t>” (as defined above), in lieu of the foregoing increase, each Holder of a Note shall receive, for each $1,000 principal amount of Notes, at the same time and upon the same terms as holders of shares of the Common Stock, the amount of cash that such Holder would have received if such Holder owned a number of shares of Common Stock equal to the Conversion Rate on the Ex-Dividend Date for such cash dividend or distribution.</w:t>
      </w:r>
    </w:p>
    <w:p>
      <w:pPr>
        <w:spacing w:after="0" w:line="132" w:lineRule="exact"/>
        <w:rPr>
          <w:sz w:val="20"/>
          <w:szCs w:val="20"/>
          <w:color w:val="auto"/>
        </w:rPr>
      </w:pPr>
    </w:p>
    <w:p>
      <w:pPr>
        <w:jc w:val="center"/>
        <w:ind w:right="-23"/>
        <w:spacing w:after="0"/>
        <w:rPr>
          <w:sz w:val="20"/>
          <w:szCs w:val="20"/>
          <w:color w:val="auto"/>
        </w:rPr>
      </w:pPr>
      <w:r>
        <w:rPr>
          <w:rFonts w:ascii="Times New Roman" w:cs="Times New Roman" w:eastAsia="Times New Roman" w:hAnsi="Times New Roman"/>
          <w:sz w:val="18"/>
          <w:szCs w:val="18"/>
          <w:color w:val="auto"/>
        </w:rPr>
        <w:t>73</w:t>
      </w:r>
    </w:p>
    <w:p>
      <w:pPr>
        <w:sectPr>
          <w:pgSz w:w="11900" w:h="16838" w:orient="portrait"/>
          <w:cols w:equalWidth="0" w:num="1">
            <w:col w:w="10984"/>
          </w:cols>
          <w:pgMar w:left="436" w:top="266" w:right="479" w:bottom="1440" w:gutter="0" w:footer="0" w:header="0"/>
        </w:sectPr>
      </w:pPr>
    </w:p>
    <w:bookmarkStart w:id="84" w:name="page85"/>
    <w:bookmarkEnd w:id="84"/>
    <w:p>
      <w:pPr>
        <w:ind w:right="100" w:firstLine="436"/>
        <w:spacing w:after="0" w:line="258" w:lineRule="auto"/>
        <w:tabs>
          <w:tab w:leader="none" w:pos="685" w:val="left"/>
        </w:tabs>
        <w:numPr>
          <w:ilvl w:val="0"/>
          <w:numId w:val="6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If the Company or any of its Subsidiaries make a payment in respect of a tender or exchange offer for the Common Stock that is subject to the then-applicable tender offer rules under the Exchange Act, other than an odd lot tender offer, to the extent that the cash and value of any other consideration included in the payment per share of the Common Stock exceeds the average of the Last Reported Sale Prices of the Common Stock over the 10 consecutive Trading Day period commencing on, and including, the Trading Day next succeeding the last date on which tenders or exchanges may be made pursuant to such tender or exchange offer, the Conversion Rate shall be increased based on the following formula: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2689225</wp:posOffset>
            </wp:positionH>
            <wp:positionV relativeFrom="paragraph">
              <wp:posOffset>145415</wp:posOffset>
            </wp:positionV>
            <wp:extent cx="1611630" cy="386080"/>
            <wp:wrapNone/>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9">
                      <a:extLst>
                        <a:ext uri="{28A0092B-C50C-407E-A947-70E740481C1C}"/>
                      </a:extLst>
                    </a:blip>
                    <a:srcRect/>
                    <a:stretch>
                      <a:fillRect/>
                    </a:stretch>
                  </pic:blipFill>
                  <pic:spPr bwMode="auto">
                    <a:xfrm>
                      <a:off x="0" y="0"/>
                      <a:ext cx="1611630" cy="386080"/>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14" w:lineRule="exact"/>
        <w:rPr>
          <w:sz w:val="20"/>
          <w:szCs w:val="20"/>
          <w:color w:val="auto"/>
        </w:rPr>
      </w:pPr>
    </w:p>
    <w:tbl>
      <w:tblPr>
        <w:tblLayout w:type="fixed"/>
        <w:tblInd w:w="0" w:type="dxa"/>
        <w:tblCellMar>
          <w:top w:w="0" w:type="dxa"/>
          <w:left w:w="0" w:type="dxa"/>
          <w:bottom w:w="0" w:type="dxa"/>
          <w:right w:w="0" w:type="dxa"/>
        </w:tblCellMar>
      </w:tblPr>
      <w:tr>
        <w:trPr>
          <w:trHeight w:val="234"/>
        </w:trPr>
        <w:tc>
          <w:tcPr>
            <w:tcW w:w="60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where,</w:t>
            </w:r>
          </w:p>
        </w:tc>
        <w:tc>
          <w:tcPr>
            <w:tcW w:w="10400" w:type="dxa"/>
            <w:vAlign w:val="bottom"/>
          </w:tcPr>
          <w:p>
            <w:pPr>
              <w:spacing w:after="0"/>
              <w:rPr>
                <w:sz w:val="20"/>
                <w:szCs w:val="20"/>
                <w:color w:val="auto"/>
              </w:rPr>
            </w:pPr>
          </w:p>
        </w:tc>
      </w:tr>
      <w:tr>
        <w:trPr>
          <w:trHeight w:val="441"/>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CR</w:t>
            </w:r>
            <w:r>
              <w:rPr>
                <w:rFonts w:ascii="Times New Roman" w:cs="Times New Roman" w:eastAsia="Times New Roman" w:hAnsi="Times New Roman"/>
                <w:sz w:val="26"/>
                <w:szCs w:val="26"/>
                <w:color w:val="auto"/>
                <w:vertAlign w:val="subscript"/>
              </w:rPr>
              <w:t>0</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40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the Conversion Rate in effect immediately prior to the close of business on the 10th Trading Day immediately following, and including, the</w:t>
            </w:r>
          </w:p>
        </w:tc>
      </w:tr>
      <w:tr>
        <w:trPr>
          <w:trHeight w:val="234"/>
        </w:trPr>
        <w:tc>
          <w:tcPr>
            <w:tcW w:w="3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40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Trading Day next succeeding the date such tender or exchange offer expires;</w:t>
            </w:r>
          </w:p>
        </w:tc>
      </w:tr>
      <w:tr>
        <w:trPr>
          <w:trHeight w:val="306"/>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CR’</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40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the Conversion Rate in effect immediately after the close of business on the 10th Trading Day immediately following, and including, the</w:t>
            </w:r>
          </w:p>
        </w:tc>
      </w:tr>
      <w:tr>
        <w:trPr>
          <w:trHeight w:val="234"/>
        </w:trPr>
        <w:tc>
          <w:tcPr>
            <w:tcW w:w="3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40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Trading Day next succeeding the date such tender or exchange offer expires;</w:t>
            </w:r>
          </w:p>
        </w:tc>
      </w:tr>
      <w:tr>
        <w:trPr>
          <w:trHeight w:val="306"/>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AC</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40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the aggregate value of all cash and any other consideration (as determined by the Board of Directors) paid or payable for shares of Common</w:t>
            </w:r>
          </w:p>
        </w:tc>
      </w:tr>
      <w:tr>
        <w:trPr>
          <w:trHeight w:val="234"/>
        </w:trPr>
        <w:tc>
          <w:tcPr>
            <w:tcW w:w="3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40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Stock purchased in such tender or exchange offer;</w:t>
            </w:r>
          </w:p>
        </w:tc>
      </w:tr>
      <w:tr>
        <w:trPr>
          <w:trHeight w:val="306"/>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OS</w:t>
            </w:r>
            <w:r>
              <w:rPr>
                <w:rFonts w:ascii="Times New Roman" w:cs="Times New Roman" w:eastAsia="Times New Roman" w:hAnsi="Times New Roman"/>
                <w:sz w:val="26"/>
                <w:szCs w:val="26"/>
                <w:color w:val="auto"/>
                <w:vertAlign w:val="subscript"/>
              </w:rPr>
              <w:t>0</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40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the number of shares of Common Stock outstanding immediately prior to the date such tender or exchange offer expires (prior to giving effect</w:t>
            </w:r>
          </w:p>
        </w:tc>
      </w:tr>
      <w:tr>
        <w:trPr>
          <w:trHeight w:val="234"/>
        </w:trPr>
        <w:tc>
          <w:tcPr>
            <w:tcW w:w="3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40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to the purchase of all shares of Common Stock accepted for purchase or exchange in such tender or exchange offer);</w:t>
            </w:r>
          </w:p>
        </w:tc>
      </w:tr>
      <w:tr>
        <w:trPr>
          <w:trHeight w:val="306"/>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OS’</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40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the number of shares of Common Stock outstanding immediately after the date such tender or exchange offer expires (after giving effect to the</w:t>
            </w:r>
          </w:p>
        </w:tc>
      </w:tr>
      <w:tr>
        <w:trPr>
          <w:trHeight w:val="234"/>
        </w:trPr>
        <w:tc>
          <w:tcPr>
            <w:tcW w:w="3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40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purchase of all shares of Common Stock accepted for purchase or exchange in such tender or exchange offer); and</w:t>
            </w:r>
          </w:p>
        </w:tc>
      </w:tr>
      <w:tr>
        <w:trPr>
          <w:trHeight w:val="306"/>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SP’</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400" w:type="dxa"/>
            <w:vAlign w:val="bottom"/>
          </w:tcPr>
          <w:p>
            <w:pPr>
              <w:ind w:left="60"/>
              <w:spacing w:after="0"/>
              <w:rPr>
                <w:sz w:val="20"/>
                <w:szCs w:val="20"/>
                <w:color w:val="auto"/>
              </w:rPr>
            </w:pPr>
            <w:r>
              <w:rPr>
                <w:rFonts w:ascii="Times New Roman" w:cs="Times New Roman" w:eastAsia="Times New Roman" w:hAnsi="Times New Roman"/>
                <w:sz w:val="18"/>
                <w:szCs w:val="18"/>
                <w:color w:val="auto"/>
                <w:w w:val="99"/>
              </w:rPr>
              <w:t>the average of the Last Reported Sale Prices of the Common Stock over the 10 consecutive Trading Day period commencing on, and including,</w:t>
            </w:r>
          </w:p>
        </w:tc>
      </w:tr>
      <w:tr>
        <w:trPr>
          <w:trHeight w:val="234"/>
        </w:trPr>
        <w:tc>
          <w:tcPr>
            <w:tcW w:w="3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40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the Trading Day next succeeding the date such tender or exchange offer expires.</w:t>
            </w:r>
          </w:p>
        </w:tc>
      </w:tr>
      <w:tr>
        <w:trPr>
          <w:trHeight w:val="364"/>
        </w:trPr>
        <w:tc>
          <w:tcPr>
            <w:tcW w:w="38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10400" w:type="dxa"/>
            <w:vAlign w:val="bottom"/>
          </w:tcPr>
          <w:p>
            <w:pPr>
              <w:ind w:left="4820"/>
              <w:spacing w:after="0"/>
              <w:rPr>
                <w:sz w:val="20"/>
                <w:szCs w:val="20"/>
                <w:color w:val="auto"/>
              </w:rPr>
            </w:pPr>
            <w:r>
              <w:rPr>
                <w:rFonts w:ascii="Times New Roman" w:cs="Times New Roman" w:eastAsia="Times New Roman" w:hAnsi="Times New Roman"/>
                <w:sz w:val="18"/>
                <w:szCs w:val="18"/>
                <w:color w:val="auto"/>
              </w:rPr>
              <w:t>74</w:t>
            </w:r>
          </w:p>
        </w:tc>
      </w:tr>
    </w:tbl>
    <w:p>
      <w:pPr>
        <w:sectPr>
          <w:pgSz w:w="11900" w:h="16838" w:orient="portrait"/>
          <w:cols w:equalWidth="0" w:num="1">
            <w:col w:w="11000"/>
          </w:cols>
          <w:pgMar w:left="440" w:top="270" w:right="459" w:bottom="1440" w:gutter="0" w:footer="0" w:header="0"/>
        </w:sectPr>
      </w:pPr>
    </w:p>
    <w:bookmarkStart w:id="85" w:name="page86"/>
    <w:bookmarkEnd w:id="85"/>
    <w:p>
      <w:pPr>
        <w:ind w:firstLine="440"/>
        <w:spacing w:after="0" w:line="253"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The increase to the Conversion Rate under this Section 14.04(e) shall occur at the close of business on the 10th Trading Day immediately following, and including, the Trading Day next succeeding the date such tender or exchange offer expires;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(x) in respect of any conversion of Notes for which Physical Settlement is applicable, if the relevant Conversion Date occurs during the 10 Trading Days immediately following, and including, the Trading Day next succeeding the expiration date of any tender or exchange offer, references to “10” or “10th” in the preceding paragraph shall be deemed replaced with such lesser number of Trading Days as have elapsed from, and including, the Trading Day next succeeding the date that such tender or exchange offer expires to, and including, the Conversion Date in determining the Conversion Rate and (y) in respect of any conversion of Notes for which Cash Settlement or Combination Settlement is applicable, for any Trading Day that falls within the relevant Observation Period for such conversion and within the 10 Trading Days immediately following, and including, the Trading Day next succeeding the expiration date of any tender or exchange offer, references to “10” or “10th” in the preceding paragraph shall be deemed replaced with such lesser number of Trading Days as have elapsed from, and including, the Trading Day next succeeding the expiration date of such tender or exchange offer to, and including, such Trading Day in determining the Conversion Rate as of such Trading Day.</w:t>
      </w:r>
    </w:p>
    <w:p>
      <w:pPr>
        <w:spacing w:after="0" w:line="192" w:lineRule="exact"/>
        <w:rPr>
          <w:sz w:val="20"/>
          <w:szCs w:val="20"/>
          <w:color w:val="auto"/>
        </w:rPr>
      </w:pPr>
    </w:p>
    <w:p>
      <w:pPr>
        <w:ind w:right="40" w:firstLine="440"/>
        <w:spacing w:after="0" w:line="261" w:lineRule="auto"/>
        <w:rPr>
          <w:sz w:val="20"/>
          <w:szCs w:val="20"/>
          <w:color w:val="auto"/>
        </w:rPr>
      </w:pPr>
      <w:r>
        <w:rPr>
          <w:rFonts w:ascii="Times New Roman" w:cs="Times New Roman" w:eastAsia="Times New Roman" w:hAnsi="Times New Roman"/>
          <w:sz w:val="18"/>
          <w:szCs w:val="18"/>
          <w:color w:val="auto"/>
        </w:rPr>
        <w:t>If the Company is obligated to purchase the Common Stock pursuant to any such tender or exchange offer described in this Section 14.04(e) but the Company is permanently prevented by applicable law from effecting any such purchase or any such purchase is rescinded, then the Conversion Rate shall be decreased to be the Conversion Rate that would then be in effect if such tender or exchange offer had not been made or had been made in respect of the purchases that have been effected.</w:t>
      </w:r>
    </w:p>
    <w:p>
      <w:pPr>
        <w:spacing w:after="0" w:line="180" w:lineRule="exact"/>
        <w:rPr>
          <w:sz w:val="20"/>
          <w:szCs w:val="20"/>
          <w:color w:val="auto"/>
        </w:rPr>
      </w:pPr>
    </w:p>
    <w:p>
      <w:pPr>
        <w:ind w:right="20" w:firstLine="436"/>
        <w:spacing w:after="0" w:line="255" w:lineRule="auto"/>
        <w:tabs>
          <w:tab w:leader="none" w:pos="665" w:val="left"/>
        </w:tabs>
        <w:numPr>
          <w:ilvl w:val="0"/>
          <w:numId w:val="6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Notwithstanding this Section 14.04 or any other provision of this Indenture or the Notes, if a Conversion Rate adjustment becomes effective on any Ex-Dividend Date, and a Holder that has converted its Notes on or after such Ex-Dividend Date and on or prior to the related Record Date would be treated as the record holder of the shares of Common Stock as of the related Conversion Date as described under Section 14.02(i) based on an adjusted Conversion Rate for such Ex-Dividend Date, then, notwithstanding the Conversion Rate adjustment provisions in this Section 14.04, the Conversion Rate adjustment relating to such Ex-Dividend Date shall not be made for such converting Holder. Instead, such Holder shall be treated as if such Holder were the record owner of the shares of Common Stock on an unadjusted basis and participate in the related dividend, distribution or other event giving rise to such adjustment.</w:t>
      </w:r>
    </w:p>
    <w:p>
      <w:pPr>
        <w:spacing w:after="0" w:line="188" w:lineRule="exact"/>
        <w:rPr>
          <w:rFonts w:ascii="Times New Roman" w:cs="Times New Roman" w:eastAsia="Times New Roman" w:hAnsi="Times New Roman"/>
          <w:sz w:val="18"/>
          <w:szCs w:val="18"/>
          <w:color w:val="auto"/>
        </w:rPr>
      </w:pPr>
    </w:p>
    <w:p>
      <w:pPr>
        <w:ind w:right="240" w:firstLine="436"/>
        <w:spacing w:after="0" w:line="266" w:lineRule="auto"/>
        <w:tabs>
          <w:tab w:leader="none" w:pos="695" w:val="left"/>
        </w:tabs>
        <w:numPr>
          <w:ilvl w:val="0"/>
          <w:numId w:val="6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Except as stated herein, the Company shall not adjust the Conversion Rate for the issuance of shares of the Common Stock or any securities convertible into or exchangeable for shares of the Common Stock or the right to purchase shares of the Common Stock or such convertible or exchangeable securities.</w:t>
      </w:r>
    </w:p>
    <w:p>
      <w:pPr>
        <w:spacing w:after="0" w:line="175" w:lineRule="exact"/>
        <w:rPr>
          <w:rFonts w:ascii="Times New Roman" w:cs="Times New Roman" w:eastAsia="Times New Roman" w:hAnsi="Times New Roman"/>
          <w:sz w:val="18"/>
          <w:szCs w:val="18"/>
          <w:color w:val="auto"/>
        </w:rPr>
      </w:pPr>
    </w:p>
    <w:p>
      <w:pPr>
        <w:ind w:firstLine="436"/>
        <w:spacing w:after="0" w:line="277" w:lineRule="auto"/>
        <w:tabs>
          <w:tab w:leader="none" w:pos="695" w:val="left"/>
        </w:tabs>
        <w:numPr>
          <w:ilvl w:val="0"/>
          <w:numId w:val="69"/>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In addition to those adjustments required by clauses (a), (b), (c), (d) and (e) of this Section 14.04, and to the extent permitted by applicable law and subject to the applicable rules of any exchange on which any of the Company’s securities are then listed, the Company from time to time may increase the Conversion Rate by any amount for a period of at least 20 Business Days if the Board of Directors determines that such increase would be in the Company’s best interest. In addition, to the extent permitted by applicable law and subject to the applicable rules of any exchange on which any of the Company’s securities are then listed, the Company may (but is not required to) increase the Conversion Rate to avoid or diminish any income tax to</w:t>
      </w:r>
    </w:p>
    <w:p>
      <w:pPr>
        <w:spacing w:after="0" w:line="10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75</w:t>
      </w:r>
    </w:p>
    <w:p>
      <w:pPr>
        <w:sectPr>
          <w:pgSz w:w="11900" w:h="16838" w:orient="portrait"/>
          <w:cols w:equalWidth="0" w:num="1">
            <w:col w:w="11000"/>
          </w:cols>
          <w:pgMar w:left="440" w:top="270" w:right="459" w:bottom="1440" w:gutter="0" w:footer="0" w:header="0"/>
        </w:sectPr>
      </w:pPr>
    </w:p>
    <w:bookmarkStart w:id="86" w:name="page87"/>
    <w:bookmarkEnd w:id="86"/>
    <w:p>
      <w:pPr>
        <w:jc w:val="both"/>
        <w:ind w:left="4" w:right="18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holders of Common Stock or rights to purchase Common Stock in connection with a dividend or distribution of shares of Common Stock (or rights to acquire shares of Common Stock) or similar event. Whenever the Conversion Rate is increased pursuant to either of the preceding two sentences, the Company shall deliver to the Holder of each Note a notice of the increase at least 15 days prior to the date the increased Conversion Rate takes effect, and such notice shall state the increased Conversion Rate and the period during which it will be in effect.</w:t>
      </w:r>
    </w:p>
    <w:p>
      <w:pPr>
        <w:spacing w:after="0" w:line="180" w:lineRule="exact"/>
        <w:rPr>
          <w:sz w:val="20"/>
          <w:szCs w:val="20"/>
          <w:color w:val="auto"/>
        </w:rPr>
      </w:pPr>
    </w:p>
    <w:p>
      <w:pPr>
        <w:ind w:left="664" w:hanging="224"/>
        <w:spacing w:after="0"/>
        <w:tabs>
          <w:tab w:leader="none" w:pos="664" w:val="left"/>
        </w:tabs>
        <w:numPr>
          <w:ilvl w:val="0"/>
          <w:numId w:val="7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Notwithstanding anything to the contrary in this Article 14, the Conversion Rate shall not be adjusted:</w:t>
      </w:r>
    </w:p>
    <w:p>
      <w:pPr>
        <w:spacing w:after="0" w:line="117" w:lineRule="exact"/>
        <w:rPr>
          <w:rFonts w:ascii="Times New Roman" w:cs="Times New Roman" w:eastAsia="Times New Roman" w:hAnsi="Times New Roman"/>
          <w:sz w:val="18"/>
          <w:szCs w:val="18"/>
          <w:color w:val="auto"/>
        </w:rPr>
      </w:pPr>
    </w:p>
    <w:p>
      <w:pPr>
        <w:ind w:left="444" w:right="140" w:firstLine="419"/>
        <w:spacing w:after="0" w:line="282" w:lineRule="auto"/>
        <w:tabs>
          <w:tab w:leader="none" w:pos="1082" w:val="left"/>
        </w:tabs>
        <w:numPr>
          <w:ilvl w:val="1"/>
          <w:numId w:val="7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upon the issuance of any shares of Common Stock pursuant to any present or future plan providing for the reinvestment of dividends or interest payable on the Company’s securities and the investment of additional optional amounts in shares of Common Stock under any plan;</w:t>
      </w:r>
    </w:p>
    <w:p>
      <w:pPr>
        <w:spacing w:after="0" w:line="53" w:lineRule="exact"/>
        <w:rPr>
          <w:rFonts w:ascii="Times New Roman" w:cs="Times New Roman" w:eastAsia="Times New Roman" w:hAnsi="Times New Roman"/>
          <w:sz w:val="18"/>
          <w:szCs w:val="18"/>
          <w:color w:val="auto"/>
        </w:rPr>
      </w:pPr>
    </w:p>
    <w:p>
      <w:pPr>
        <w:ind w:left="444" w:right="600" w:firstLine="419"/>
        <w:spacing w:after="0" w:line="282" w:lineRule="auto"/>
        <w:tabs>
          <w:tab w:leader="none" w:pos="1132" w:val="left"/>
        </w:tabs>
        <w:numPr>
          <w:ilvl w:val="1"/>
          <w:numId w:val="7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upon the issuance of any shares of Common Stock or options or rights to purchase those shares pursuant to any present or future employee, director or consultant benefit plan or program of or assumed by the Company or any of the Company’s Subsidiaries;</w:t>
      </w:r>
    </w:p>
    <w:p>
      <w:pPr>
        <w:spacing w:after="0" w:line="53" w:lineRule="exact"/>
        <w:rPr>
          <w:rFonts w:ascii="Times New Roman" w:cs="Times New Roman" w:eastAsia="Times New Roman" w:hAnsi="Times New Roman"/>
          <w:sz w:val="18"/>
          <w:szCs w:val="18"/>
          <w:color w:val="auto"/>
        </w:rPr>
      </w:pPr>
    </w:p>
    <w:p>
      <w:pPr>
        <w:ind w:left="444" w:right="260" w:firstLine="419"/>
        <w:spacing w:after="0" w:line="266" w:lineRule="auto"/>
        <w:tabs>
          <w:tab w:leader="none" w:pos="1182" w:val="left"/>
        </w:tabs>
        <w:numPr>
          <w:ilvl w:val="1"/>
          <w:numId w:val="7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upon the issuance of any shares of Common Stock pursuant to any option, warrant, right or exercisable, exchangeable or convertible security not described in clause (ii) of this subsection and outstanding as of the date the Notes were first issued (other than any rights plan as described under Section 14.04(c));</w:t>
      </w:r>
    </w:p>
    <w:p>
      <w:pPr>
        <w:spacing w:after="0" w:line="67" w:lineRule="exact"/>
        <w:rPr>
          <w:rFonts w:ascii="Times New Roman" w:cs="Times New Roman" w:eastAsia="Times New Roman" w:hAnsi="Times New Roman"/>
          <w:sz w:val="18"/>
          <w:szCs w:val="18"/>
          <w:color w:val="auto"/>
        </w:rPr>
      </w:pPr>
    </w:p>
    <w:p>
      <w:pPr>
        <w:ind w:left="444" w:right="740" w:firstLine="419"/>
        <w:spacing w:after="0" w:line="282" w:lineRule="auto"/>
        <w:tabs>
          <w:tab w:leader="none" w:pos="1172" w:val="left"/>
        </w:tabs>
        <w:numPr>
          <w:ilvl w:val="1"/>
          <w:numId w:val="7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upon the repurchase of any shares of Common Stock pursuant to an open-market share repurchase program or other buy-back transaction that is not a tender offer or exchange offer of the nature described in Section 14.04(e);</w:t>
      </w:r>
    </w:p>
    <w:p>
      <w:pPr>
        <w:spacing w:after="0" w:line="53" w:lineRule="exact"/>
        <w:rPr>
          <w:rFonts w:ascii="Times New Roman" w:cs="Times New Roman" w:eastAsia="Times New Roman" w:hAnsi="Times New Roman"/>
          <w:sz w:val="18"/>
          <w:szCs w:val="18"/>
          <w:color w:val="auto"/>
        </w:rPr>
      </w:pPr>
    </w:p>
    <w:p>
      <w:pPr>
        <w:ind w:left="1124" w:hanging="261"/>
        <w:spacing w:after="0"/>
        <w:tabs>
          <w:tab w:leader="none" w:pos="1124" w:val="left"/>
        </w:tabs>
        <w:numPr>
          <w:ilvl w:val="1"/>
          <w:numId w:val="7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solely for a change in the par value of the Common Stock; or</w:t>
      </w:r>
    </w:p>
    <w:p>
      <w:pPr>
        <w:spacing w:after="0" w:line="117" w:lineRule="exact"/>
        <w:rPr>
          <w:rFonts w:ascii="Times New Roman" w:cs="Times New Roman" w:eastAsia="Times New Roman" w:hAnsi="Times New Roman"/>
          <w:sz w:val="18"/>
          <w:szCs w:val="18"/>
          <w:color w:val="auto"/>
        </w:rPr>
      </w:pPr>
    </w:p>
    <w:p>
      <w:pPr>
        <w:ind w:left="1164" w:hanging="301"/>
        <w:spacing w:after="0"/>
        <w:tabs>
          <w:tab w:leader="none" w:pos="1164" w:val="left"/>
        </w:tabs>
        <w:numPr>
          <w:ilvl w:val="1"/>
          <w:numId w:val="7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for accrued and unpaid interest, if any.</w:t>
      </w:r>
    </w:p>
    <w:p>
      <w:pPr>
        <w:spacing w:after="0" w:line="225" w:lineRule="exact"/>
        <w:rPr>
          <w:sz w:val="20"/>
          <w:szCs w:val="20"/>
          <w:color w:val="auto"/>
        </w:rPr>
      </w:pPr>
    </w:p>
    <w:p>
      <w:pPr>
        <w:ind w:left="4" w:right="160" w:firstLine="436"/>
        <w:spacing w:after="0" w:line="269" w:lineRule="auto"/>
        <w:tabs>
          <w:tab w:leader="none" w:pos="659" w:val="left"/>
        </w:tabs>
        <w:numPr>
          <w:ilvl w:val="1"/>
          <w:numId w:val="71"/>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Notwithstanding this Section 14.04 or any other provision of this Indenture or the Notes, The Company shall not be required to make an adjustment pursuant to this Section 14.04 unless such adjustment would result in a change of at least 1% in the then-effective Conversion Rate. However, the Company shall carry forward any adjustments that the Company would otherwise have to make and take that adjustment into account in any subsequent adjustment. Notwithstanding the foregoing, all such carried-forward adjustments shall be made (1) in connection with any subsequent adjustment to the Conversion Rate of at least 1% (when all such carried-forward adjustments not yet made are aggregated and taken into account), (2)</w:t>
      </w:r>
    </w:p>
    <w:p>
      <w:pPr>
        <w:spacing w:after="0" w:line="2" w:lineRule="exact"/>
        <w:rPr>
          <w:rFonts w:ascii="Times New Roman" w:cs="Times New Roman" w:eastAsia="Times New Roman" w:hAnsi="Times New Roman"/>
          <w:sz w:val="17"/>
          <w:szCs w:val="17"/>
          <w:color w:val="auto"/>
        </w:rPr>
      </w:pPr>
    </w:p>
    <w:p>
      <w:pPr>
        <w:ind w:left="4" w:right="280" w:hanging="4"/>
        <w:spacing w:after="0" w:line="265" w:lineRule="auto"/>
        <w:tabs>
          <w:tab w:leader="none" w:pos="259" w:val="left"/>
        </w:tabs>
        <w:numPr>
          <w:ilvl w:val="0"/>
          <w:numId w:val="72"/>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on the Conversion Date for any Notes (in the case of Physical Settlement) and (y) on each Trading Day of any Observation Period (in the case of Cash Settlement or Combination Settlement), (3) on the Effective Date of any Fundamental Change and/or Make-Whole Fundamental Change and</w:t>
      </w:r>
    </w:p>
    <w:p>
      <w:pPr>
        <w:ind w:left="4"/>
        <w:spacing w:after="0" w:line="260" w:lineRule="auto"/>
        <w:rPr>
          <w:rFonts w:ascii="Times New Roman" w:cs="Times New Roman" w:eastAsia="Times New Roman" w:hAnsi="Times New Roman"/>
          <w:sz w:val="17"/>
          <w:szCs w:val="17"/>
          <w:color w:val="auto"/>
        </w:rPr>
      </w:pPr>
      <w:r>
        <w:rPr>
          <w:rFonts w:ascii="Times New Roman" w:cs="Times New Roman" w:eastAsia="Times New Roman" w:hAnsi="Times New Roman"/>
          <w:sz w:val="18"/>
          <w:szCs w:val="18"/>
          <w:color w:val="auto"/>
        </w:rPr>
        <w:t>(4) on or after December 15, 2031, unless the adjustment has already been made. All calculations and other determinations under this Article 14 shall be made by the Company and shall be made to the nearest one-ten thousandth (1/10,000th) of a share.</w:t>
      </w:r>
    </w:p>
    <w:p>
      <w:pPr>
        <w:spacing w:after="0" w:line="114" w:lineRule="exact"/>
        <w:rPr>
          <w:sz w:val="20"/>
          <w:szCs w:val="20"/>
          <w:color w:val="auto"/>
        </w:rPr>
      </w:pPr>
    </w:p>
    <w:p>
      <w:pPr>
        <w:jc w:val="center"/>
        <w:ind w:right="-43"/>
        <w:spacing w:after="0"/>
        <w:rPr>
          <w:sz w:val="20"/>
          <w:szCs w:val="20"/>
          <w:color w:val="auto"/>
        </w:rPr>
      </w:pPr>
      <w:r>
        <w:rPr>
          <w:rFonts w:ascii="Times New Roman" w:cs="Times New Roman" w:eastAsia="Times New Roman" w:hAnsi="Times New Roman"/>
          <w:sz w:val="18"/>
          <w:szCs w:val="18"/>
          <w:color w:val="auto"/>
        </w:rPr>
        <w:t>76</w:t>
      </w:r>
    </w:p>
    <w:p>
      <w:pPr>
        <w:sectPr>
          <w:pgSz w:w="11900" w:h="16838" w:orient="portrait"/>
          <w:cols w:equalWidth="0" w:num="1">
            <w:col w:w="10964"/>
          </w:cols>
          <w:pgMar w:left="436" w:top="270" w:right="499" w:bottom="1440" w:gutter="0" w:footer="0" w:header="0"/>
        </w:sectPr>
      </w:pPr>
    </w:p>
    <w:bookmarkStart w:id="87" w:name="page88"/>
    <w:bookmarkEnd w:id="87"/>
    <w:p>
      <w:pPr>
        <w:ind w:right="60" w:firstLine="436"/>
        <w:spacing w:after="0" w:line="255" w:lineRule="auto"/>
        <w:tabs>
          <w:tab w:leader="none" w:pos="695" w:val="left"/>
        </w:tabs>
        <w:numPr>
          <w:ilvl w:val="0"/>
          <w:numId w:val="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Whenever the Conversion Rate is adjusted as herein provided, the Company shall promptly file with the Trustee (and the Conversion Agent if not the Trustee) an Officer’s Certificate setting forth the Conversion Rate after such adjustment and setting forth a brief statement of the facts requiring such adjustment. Unless and until a Responsible Officer of the Trustee shall have received such Officer’s Certificate, the Trustee shall not be deemed to have knowledge of any adjustment of the Conversion Rate and may assume without inquiry that the last Conversion Rate of which it has knowledge is still in effect. Promptly after delivery of such certificate, the Company shall prepare a notice of such adjustment of the Conversion Rate setting forth the adjusted Conversion Rate and the date on which each adjustment becomes effective and shall deliver such notice of such adjustment of the Conversion Rate to each Holder. Failure to deliver such notice shall not affect the legality or validity of any such adjustment.</w:t>
      </w:r>
    </w:p>
    <w:p>
      <w:pPr>
        <w:spacing w:after="0" w:line="188" w:lineRule="exact"/>
        <w:rPr>
          <w:rFonts w:ascii="Times New Roman" w:cs="Times New Roman" w:eastAsia="Times New Roman" w:hAnsi="Times New Roman"/>
          <w:sz w:val="18"/>
          <w:szCs w:val="18"/>
          <w:color w:val="auto"/>
        </w:rPr>
      </w:pPr>
    </w:p>
    <w:p>
      <w:pPr>
        <w:ind w:firstLine="436"/>
        <w:spacing w:after="0" w:line="261" w:lineRule="auto"/>
        <w:tabs>
          <w:tab w:leader="none" w:pos="655" w:val="left"/>
        </w:tabs>
        <w:numPr>
          <w:ilvl w:val="0"/>
          <w:numId w:val="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For purposes of this Section 14.04, the number of shares of Common Stock at any time outstanding shall not include shares of Common Stock held in the treasury of the Company so long as the Company does not pay any dividend or make any distribution on shares of Common Stock held in the treasury of the Company, but shall include shares of Common Stock issuable in respect of scrip certificates issued in lieu of fractions of shares of Common Stock.</w:t>
      </w:r>
    </w:p>
    <w:p>
      <w:pPr>
        <w:spacing w:after="0" w:line="178" w:lineRule="exact"/>
        <w:rPr>
          <w:sz w:val="20"/>
          <w:szCs w:val="20"/>
          <w:color w:val="auto"/>
        </w:rPr>
      </w:pPr>
    </w:p>
    <w:p>
      <w:pPr>
        <w:ind w:right="120" w:firstLine="440"/>
        <w:spacing w:after="0" w:line="256" w:lineRule="auto"/>
        <w:rPr>
          <w:sz w:val="20"/>
          <w:szCs w:val="20"/>
          <w:color w:val="auto"/>
        </w:rPr>
      </w:pPr>
      <w:r>
        <w:rPr>
          <w:rFonts w:ascii="Times New Roman" w:cs="Times New Roman" w:eastAsia="Times New Roman" w:hAnsi="Times New Roman"/>
          <w:sz w:val="18"/>
          <w:szCs w:val="18"/>
          <w:color w:val="auto"/>
        </w:rPr>
        <w:t>Section 14.05</w:t>
      </w:r>
      <w:r>
        <w:rPr>
          <w:rFonts w:ascii="Times New Roman" w:cs="Times New Roman" w:eastAsia="Times New Roman" w:hAnsi="Times New Roman"/>
          <w:sz w:val="18"/>
          <w:szCs w:val="18"/>
          <w:i w:val="1"/>
          <w:iCs w:val="1"/>
          <w:color w:val="auto"/>
        </w:rPr>
        <w:t>. Adjustments of Prices.</w:t>
      </w:r>
      <w:r>
        <w:rPr>
          <w:rFonts w:ascii="Times New Roman" w:cs="Times New Roman" w:eastAsia="Times New Roman" w:hAnsi="Times New Roman"/>
          <w:sz w:val="18"/>
          <w:szCs w:val="18"/>
          <w:color w:val="auto"/>
        </w:rPr>
        <w:t xml:space="preserve"> Whenever any provision of this Indenture requires the Company to calculate the Last Reported Sale Prices, the Daily VWAPs, the Daily Conversion Values or the Daily Settlement Amounts over a span of multiple days (including, without limitation, an Observation Period and the period for determining the Stock Price for purposes of a Make-Whole Fundamental Change or a Redemption Notice), the Board of Directors shall make appropriate adjustments to each to account for any adjustment to the Conversion Rate that becomes effective, or any event requiring an adjustment to the Conversion Rate where the Ex-Dividend Date, Effective Date or expiration date, as the case may be, of the event occurs, at any time during the period when the Last Reported Sale Prices, the Daily VWAPs, the Daily Conversion Values or the Daily Settlement Amounts are to be calculated.</w:t>
      </w:r>
    </w:p>
    <w:p>
      <w:pPr>
        <w:spacing w:after="0" w:line="183" w:lineRule="exact"/>
        <w:rPr>
          <w:sz w:val="20"/>
          <w:szCs w:val="20"/>
          <w:color w:val="auto"/>
        </w:rPr>
      </w:pPr>
    </w:p>
    <w:p>
      <w:pPr>
        <w:jc w:val="both"/>
        <w:ind w:right="380" w:firstLine="440"/>
        <w:spacing w:after="0" w:line="261" w:lineRule="auto"/>
        <w:rPr>
          <w:sz w:val="20"/>
          <w:szCs w:val="20"/>
          <w:color w:val="auto"/>
        </w:rPr>
      </w:pPr>
      <w:r>
        <w:rPr>
          <w:rFonts w:ascii="Times New Roman" w:cs="Times New Roman" w:eastAsia="Times New Roman" w:hAnsi="Times New Roman"/>
          <w:sz w:val="18"/>
          <w:szCs w:val="18"/>
          <w:color w:val="auto"/>
        </w:rPr>
        <w:t>Section 14.06</w:t>
      </w:r>
      <w:r>
        <w:rPr>
          <w:rFonts w:ascii="Times New Roman" w:cs="Times New Roman" w:eastAsia="Times New Roman" w:hAnsi="Times New Roman"/>
          <w:sz w:val="18"/>
          <w:szCs w:val="18"/>
          <w:i w:val="1"/>
          <w:iCs w:val="1"/>
          <w:color w:val="auto"/>
        </w:rPr>
        <w:t>. Shares to Be Fully Paid.</w:t>
      </w:r>
      <w:r>
        <w:rPr>
          <w:rFonts w:ascii="Times New Roman" w:cs="Times New Roman" w:eastAsia="Times New Roman" w:hAnsi="Times New Roman"/>
          <w:sz w:val="18"/>
          <w:szCs w:val="18"/>
          <w:color w:val="auto"/>
        </w:rPr>
        <w:t xml:space="preserve"> The Company shall provide, free from preemptive rights, out of its authorized but unissued shares or shares held in treasury, sufficient shares of Common Stock to provide for conversion of the Notes from time to time as such Notes are presented for conversion (assuming delivery of the maximum number of Additional Shares pursuant to Section 14.03 and that at the time of computation of such number of shares, all such Notes would be converted by a single Holder and that Physical Settlement were applicable).</w:t>
      </w:r>
    </w:p>
    <w:p>
      <w:pPr>
        <w:spacing w:after="0" w:line="180"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Section 14.07</w:t>
      </w:r>
      <w:r>
        <w:rPr>
          <w:rFonts w:ascii="Times New Roman" w:cs="Times New Roman" w:eastAsia="Times New Roman" w:hAnsi="Times New Roman"/>
          <w:sz w:val="18"/>
          <w:szCs w:val="18"/>
          <w:i w:val="1"/>
          <w:iCs w:val="1"/>
          <w:color w:val="auto"/>
        </w:rPr>
        <w:t>. Effect of Recapitalizations, Reclassifications and Changes of the Common Stock.</w:t>
      </w:r>
    </w:p>
    <w:p>
      <w:pPr>
        <w:spacing w:after="0" w:line="227" w:lineRule="exact"/>
        <w:rPr>
          <w:sz w:val="20"/>
          <w:szCs w:val="20"/>
          <w:color w:val="auto"/>
        </w:rPr>
      </w:pPr>
    </w:p>
    <w:p>
      <w:pPr>
        <w:ind w:left="680" w:hanging="244"/>
        <w:spacing w:after="0"/>
        <w:tabs>
          <w:tab w:leader="none" w:pos="680" w:val="left"/>
        </w:tabs>
        <w:numPr>
          <w:ilvl w:val="0"/>
          <w:numId w:val="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case of:</w:t>
      </w:r>
    </w:p>
    <w:p>
      <w:pPr>
        <w:spacing w:after="0" w:line="117" w:lineRule="exact"/>
        <w:rPr>
          <w:rFonts w:ascii="Times New Roman" w:cs="Times New Roman" w:eastAsia="Times New Roman" w:hAnsi="Times New Roman"/>
          <w:sz w:val="18"/>
          <w:szCs w:val="18"/>
          <w:color w:val="auto"/>
        </w:rPr>
      </w:pPr>
    </w:p>
    <w:p>
      <w:pPr>
        <w:ind w:left="1080" w:hanging="221"/>
        <w:spacing w:after="0"/>
        <w:tabs>
          <w:tab w:leader="none" w:pos="1080" w:val="left"/>
        </w:tabs>
        <w:numPr>
          <w:ilvl w:val="1"/>
          <w:numId w:val="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recapitalization, reclassification or change of the Common Stock (other than changes resulting from a subdivision or combination),</w:t>
      </w:r>
    </w:p>
    <w:p>
      <w:pPr>
        <w:spacing w:after="0" w:line="117"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1"/>
          <w:numId w:val="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consolidation, merger, combination or similar transaction involving the Company,</w:t>
      </w:r>
    </w:p>
    <w:p>
      <w:pPr>
        <w:spacing w:after="0" w:line="279"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77</w:t>
      </w:r>
    </w:p>
    <w:p>
      <w:pPr>
        <w:sectPr>
          <w:pgSz w:w="11900" w:h="16838" w:orient="portrait"/>
          <w:cols w:equalWidth="0" w:num="1">
            <w:col w:w="11000"/>
          </w:cols>
          <w:pgMar w:left="440" w:top="270" w:right="459" w:bottom="1440" w:gutter="0" w:footer="0" w:header="0"/>
        </w:sectPr>
      </w:pPr>
    </w:p>
    <w:bookmarkStart w:id="88" w:name="page89"/>
    <w:bookmarkEnd w:id="88"/>
    <w:p>
      <w:pPr>
        <w:ind w:left="440" w:right="40" w:firstLine="419"/>
        <w:spacing w:after="0" w:line="282" w:lineRule="auto"/>
        <w:tabs>
          <w:tab w:leader="none" w:pos="1178" w:val="left"/>
        </w:tabs>
        <w:numPr>
          <w:ilvl w:val="0"/>
          <w:numId w:val="7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3">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any sale, lease or other transfer to a third party of the consolidated assets of the Company and the Company’s Subsidiaries substantially as an entirety or</w:t>
      </w:r>
    </w:p>
    <w:p>
      <w:pPr>
        <w:spacing w:after="0" w:line="53" w:lineRule="exact"/>
        <w:rPr>
          <w:rFonts w:ascii="Times New Roman" w:cs="Times New Roman" w:eastAsia="Times New Roman" w:hAnsi="Times New Roman"/>
          <w:sz w:val="18"/>
          <w:szCs w:val="18"/>
          <w:color w:val="auto"/>
        </w:rPr>
      </w:pPr>
    </w:p>
    <w:p>
      <w:pPr>
        <w:ind w:left="1160" w:hanging="301"/>
        <w:spacing w:after="0"/>
        <w:tabs>
          <w:tab w:leader="none" w:pos="1160" w:val="left"/>
        </w:tabs>
        <w:numPr>
          <w:ilvl w:val="0"/>
          <w:numId w:val="7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statutory share exchange,</w:t>
      </w:r>
    </w:p>
    <w:p>
      <w:pPr>
        <w:spacing w:after="0" w:line="225" w:lineRule="exact"/>
        <w:rPr>
          <w:sz w:val="20"/>
          <w:szCs w:val="20"/>
          <w:color w:val="auto"/>
        </w:rPr>
      </w:pPr>
    </w:p>
    <w:p>
      <w:pPr>
        <w:ind w:right="60"/>
        <w:spacing w:after="0" w:line="252" w:lineRule="auto"/>
        <w:rPr>
          <w:sz w:val="20"/>
          <w:szCs w:val="20"/>
          <w:color w:val="auto"/>
        </w:rPr>
      </w:pPr>
      <w:r>
        <w:rPr>
          <w:rFonts w:ascii="Times New Roman" w:cs="Times New Roman" w:eastAsia="Times New Roman" w:hAnsi="Times New Roman"/>
          <w:sz w:val="18"/>
          <w:szCs w:val="18"/>
          <w:color w:val="auto"/>
        </w:rPr>
        <w:t>in each case, as a result of which the Common Stock would be converted into, or exchanged for, stock, other securities, other property or assets (including cash or any combination thereof) (any such event, a “</w:t>
      </w:r>
      <w:r>
        <w:rPr>
          <w:rFonts w:ascii="Times New Roman" w:cs="Times New Roman" w:eastAsia="Times New Roman" w:hAnsi="Times New Roman"/>
          <w:sz w:val="18"/>
          <w:szCs w:val="18"/>
          <w:b w:val="1"/>
          <w:bCs w:val="1"/>
          <w:color w:val="auto"/>
        </w:rPr>
        <w:t>Share Exchange Event</w:t>
      </w:r>
      <w:r>
        <w:rPr>
          <w:rFonts w:ascii="Times New Roman" w:cs="Times New Roman" w:eastAsia="Times New Roman" w:hAnsi="Times New Roman"/>
          <w:sz w:val="18"/>
          <w:szCs w:val="18"/>
          <w:color w:val="auto"/>
        </w:rPr>
        <w:t>”), then, at and after the effective time of such Share Exchange Event, the right to convert each $1,000 principal amount of Notes shall be changed into a right to convert such principal amount of Notes into the kind and amount of shares of stock, other securities or other property or assets (including cash or any combination thereof) that a holder of a number of shares of Common Stock equal to the Conversion Rate immediately prior to such Share Exchange Event would have owned or been entitled to receive (the “</w:t>
      </w:r>
      <w:r>
        <w:rPr>
          <w:rFonts w:ascii="Times New Roman" w:cs="Times New Roman" w:eastAsia="Times New Roman" w:hAnsi="Times New Roman"/>
          <w:sz w:val="18"/>
          <w:szCs w:val="18"/>
          <w:b w:val="1"/>
          <w:bCs w:val="1"/>
          <w:color w:val="auto"/>
        </w:rPr>
        <w:t>Reference Property</w:t>
      </w:r>
      <w:r>
        <w:rPr>
          <w:rFonts w:ascii="Times New Roman" w:cs="Times New Roman" w:eastAsia="Times New Roman" w:hAnsi="Times New Roman"/>
          <w:sz w:val="18"/>
          <w:szCs w:val="18"/>
          <w:color w:val="auto"/>
        </w:rPr>
        <w:t>,” with each “</w:t>
      </w:r>
      <w:r>
        <w:rPr>
          <w:rFonts w:ascii="Times New Roman" w:cs="Times New Roman" w:eastAsia="Times New Roman" w:hAnsi="Times New Roman"/>
          <w:sz w:val="18"/>
          <w:szCs w:val="18"/>
          <w:b w:val="1"/>
          <w:bCs w:val="1"/>
          <w:color w:val="auto"/>
        </w:rPr>
        <w:t>unit of Reference Property</w:t>
      </w:r>
      <w:r>
        <w:rPr>
          <w:rFonts w:ascii="Times New Roman" w:cs="Times New Roman" w:eastAsia="Times New Roman" w:hAnsi="Times New Roman"/>
          <w:sz w:val="18"/>
          <w:szCs w:val="18"/>
          <w:color w:val="auto"/>
        </w:rPr>
        <w:t xml:space="preserve">” meaning the kind and amount of Reference Property that a holder of one share of Common Stock is entitled to receive) upon such Share Exchange Event and, prior to or at the effective time of such Share Exchange Event, the Company or the successor or purchasing Person, as the case may be, shall execute with the Trustee a supplemental indenture permitted under Section 10.01(g) providing for such change in the right to convert each $1,000 principal amount of Notes;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at and after the effective time of the Share Exchange Event (A) the Company shall continue to have the right to determine the form of consideration to be paid or delivered, as the case may be, upon conversion of Notes in accordance with Section 14.02 and (B) (I) any amount payable in cash upon conversion of the Notes in accordance with Section 14.02 shall continue to be payable in cash, (II) any shares of Common Stock that the Company would have been required to deliver upon conversion of the Notes in accordance with Section 14.02 shall instead be deliverable in the amount and type of Reference Property that a holder of that number of shares of Common Stock would have been entitled to receive in such Share Exchange Event and (III) the Daily VWAP shall be calculated based on the value of a unit of Reference Property.</w:t>
      </w:r>
    </w:p>
    <w:p>
      <w:pPr>
        <w:spacing w:after="0" w:line="196" w:lineRule="exact"/>
        <w:rPr>
          <w:sz w:val="20"/>
          <w:szCs w:val="20"/>
          <w:color w:val="auto"/>
        </w:rPr>
      </w:pPr>
    </w:p>
    <w:p>
      <w:pPr>
        <w:ind w:firstLine="440"/>
        <w:spacing w:after="0" w:line="253" w:lineRule="auto"/>
        <w:rPr>
          <w:sz w:val="20"/>
          <w:szCs w:val="20"/>
          <w:color w:val="auto"/>
        </w:rPr>
      </w:pPr>
      <w:r>
        <w:rPr>
          <w:rFonts w:ascii="Times New Roman" w:cs="Times New Roman" w:eastAsia="Times New Roman" w:hAnsi="Times New Roman"/>
          <w:sz w:val="18"/>
          <w:szCs w:val="18"/>
          <w:color w:val="auto"/>
        </w:rPr>
        <w:t xml:space="preserve">If the Share Exchange Event causes the Common Stock to be converted into, or exchanged for, the right to receive more than a single type of consideration (determined based in part upon any form of stockholder election), then (i) the Reference Property into which the Notes will be convertible shall be deemed to be the weighted average of the types and amounts of consideration actually received by the holders of Common Stock, and (ii) the unit of Reference Property for purposes of the immediately preceding paragraph shall refer to the consideration referred to in clause (i) attributable to one share of Common Stock. If the holders of the Common Stock receive only cash in such Share Exchange Event, then for all conversions for which the relevant Conversion Date occurs after the effective date of such Share Exchange Event (A) the consideration due upon conversion of each $1,000 principal amount of Notes shall be solely cash in an amount equal to the Conversion Rate in effect on the Conversion Date (as may be increased by any Additional Shares pursuant to Section 14.03), </w:t>
      </w:r>
      <w:r>
        <w:rPr>
          <w:rFonts w:ascii="Times New Roman" w:cs="Times New Roman" w:eastAsia="Times New Roman" w:hAnsi="Times New Roman"/>
          <w:sz w:val="18"/>
          <w:szCs w:val="18"/>
          <w:i w:val="1"/>
          <w:iCs w:val="1"/>
          <w:color w:val="auto"/>
        </w:rPr>
        <w:t>multiplied by</w:t>
      </w:r>
      <w:r>
        <w:rPr>
          <w:rFonts w:ascii="Times New Roman" w:cs="Times New Roman" w:eastAsia="Times New Roman" w:hAnsi="Times New Roman"/>
          <w:sz w:val="18"/>
          <w:szCs w:val="18"/>
          <w:color w:val="auto"/>
        </w:rPr>
        <w:t xml:space="preserve"> the price paid per share of Common Stock in such Share Exchange Event and (B) the Company shall satisfy the Conversion Obligation by paying cash to converting Holders on the second Business Day immediately following the relevant Conversion Date. The Company shall notify in writing Holders, the Trustee and the Conversion Agent (if other than the Trustee) of such weighted average as soon as practicable after such determination is made.</w:t>
      </w:r>
    </w:p>
    <w:p>
      <w:pPr>
        <w:spacing w:after="0" w:line="124" w:lineRule="exact"/>
        <w:rPr>
          <w:sz w:val="20"/>
          <w:szCs w:val="20"/>
          <w:color w:val="auto"/>
        </w:rPr>
      </w:pPr>
    </w:p>
    <w:p>
      <w:pPr>
        <w:jc w:val="center"/>
        <w:ind w:right="-59"/>
        <w:spacing w:after="0"/>
        <w:rPr>
          <w:sz w:val="20"/>
          <w:szCs w:val="20"/>
          <w:color w:val="auto"/>
        </w:rPr>
      </w:pPr>
      <w:r>
        <w:rPr>
          <w:rFonts w:ascii="Times New Roman" w:cs="Times New Roman" w:eastAsia="Times New Roman" w:hAnsi="Times New Roman"/>
          <w:sz w:val="18"/>
          <w:szCs w:val="18"/>
          <w:color w:val="auto"/>
        </w:rPr>
        <w:t>78</w:t>
      </w:r>
    </w:p>
    <w:p>
      <w:pPr>
        <w:sectPr>
          <w:pgSz w:w="11900" w:h="16838" w:orient="portrait"/>
          <w:cols w:equalWidth="0" w:num="1">
            <w:col w:w="10960"/>
          </w:cols>
          <w:pgMar w:left="440" w:top="270" w:right="499" w:bottom="1440" w:gutter="0" w:footer="0" w:header="0"/>
        </w:sectPr>
      </w:pPr>
    </w:p>
    <w:bookmarkStart w:id="89" w:name="page90"/>
    <w:bookmarkEnd w:id="89"/>
    <w:p>
      <w:pPr>
        <w:ind w:firstLine="440"/>
        <w:spacing w:after="0" w:line="25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Such supplemental indenture described in the second immediately preceding paragraph shall provide for anti-dilution and other adjustments that shall be as nearly equivalent as is possible to the adjustments provided for in this Article 14. If, in the case of any Share Exchange Event, the Reference Property includes shares of stock, securities or other property or assets (including cash or any combination thereof) of a Person other than the successor or purchasing corporation, as the case may be, in such Share Exchange Event, then such supplemental indenture shall also be executed by such other Person and shall contain such additional provisions to protect the interests of the Holders of the Notes as the Board of Directors shall reasonably consider necessary by reason of the foregoing, including the provisions providing for the purchase rights set forth in Article 15.</w:t>
      </w:r>
    </w:p>
    <w:p>
      <w:pPr>
        <w:spacing w:after="0" w:line="187" w:lineRule="exact"/>
        <w:rPr>
          <w:sz w:val="20"/>
          <w:szCs w:val="20"/>
          <w:color w:val="auto"/>
        </w:rPr>
      </w:pPr>
    </w:p>
    <w:p>
      <w:pPr>
        <w:ind w:right="20" w:firstLine="436"/>
        <w:spacing w:after="0" w:line="256" w:lineRule="auto"/>
        <w:tabs>
          <w:tab w:leader="none" w:pos="695" w:val="left"/>
        </w:tabs>
        <w:numPr>
          <w:ilvl w:val="0"/>
          <w:numId w:val="7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When the Company executes a supplemental indenture pursuant to subsection (a) of this Section 14.07, the Company shall promptly file with the Trustee an Officer’s Certificate briefly stating the reasons therefor, the kind or amount of cash, securities or property or asset that will comprise a unit of Reference Property after any such Share Exchange Event, any adjustment to be made with respect thereto and that all conditions precedent have been complied with, and shall promptly deliver notice thereof to all Holders. The Company shall cause notice of the execution of such supplemental indenture to be delivered to each Holder within 20 days after execution thereof. Failure to deliver such notice shall not affect the legality or validity of such supplemental indenture.</w:t>
      </w:r>
    </w:p>
    <w:p>
      <w:pPr>
        <w:spacing w:after="0" w:line="187" w:lineRule="exact"/>
        <w:rPr>
          <w:rFonts w:ascii="Times New Roman" w:cs="Times New Roman" w:eastAsia="Times New Roman" w:hAnsi="Times New Roman"/>
          <w:sz w:val="18"/>
          <w:szCs w:val="18"/>
          <w:color w:val="auto"/>
        </w:rPr>
      </w:pPr>
    </w:p>
    <w:p>
      <w:pPr>
        <w:ind w:right="260" w:firstLine="436"/>
        <w:spacing w:after="0" w:line="289" w:lineRule="auto"/>
        <w:tabs>
          <w:tab w:leader="none" w:pos="685" w:val="left"/>
        </w:tabs>
        <w:numPr>
          <w:ilvl w:val="0"/>
          <w:numId w:val="76"/>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The Company shall not become a party to any Share Exchange Event unless its terms are consistent with this Section 14.07. None of the foregoing provisions shall affect the right of a holder of Notes to convert its Notes into cash, shares of Common Stock or a combination of cash and shares of Common Stock, as applicable, as set forth in Section 14.01 and Section 14.02 prior to the effective date of such Share Exchange Event.</w:t>
      </w:r>
    </w:p>
    <w:p>
      <w:pPr>
        <w:spacing w:after="0" w:line="157" w:lineRule="exact"/>
        <w:rPr>
          <w:rFonts w:ascii="Times New Roman" w:cs="Times New Roman" w:eastAsia="Times New Roman" w:hAnsi="Times New Roman"/>
          <w:sz w:val="17"/>
          <w:szCs w:val="17"/>
          <w:color w:val="auto"/>
        </w:rPr>
      </w:pPr>
    </w:p>
    <w:p>
      <w:pPr>
        <w:ind w:left="700" w:hanging="264"/>
        <w:spacing w:after="0"/>
        <w:tabs>
          <w:tab w:leader="none" w:pos="700" w:val="left"/>
        </w:tabs>
        <w:numPr>
          <w:ilvl w:val="0"/>
          <w:numId w:val="7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above provisions of this Section shall similarly apply to successive Share Exchange Events.</w:t>
      </w:r>
    </w:p>
    <w:p>
      <w:pPr>
        <w:spacing w:after="0" w:line="223" w:lineRule="exact"/>
        <w:rPr>
          <w:sz w:val="20"/>
          <w:szCs w:val="20"/>
          <w:color w:val="auto"/>
        </w:rPr>
      </w:pPr>
    </w:p>
    <w:p>
      <w:pPr>
        <w:ind w:right="200" w:firstLine="440"/>
        <w:spacing w:after="0" w:line="284" w:lineRule="auto"/>
        <w:rPr>
          <w:sz w:val="20"/>
          <w:szCs w:val="20"/>
          <w:color w:val="auto"/>
        </w:rPr>
      </w:pPr>
      <w:r>
        <w:rPr>
          <w:rFonts w:ascii="Times New Roman" w:cs="Times New Roman" w:eastAsia="Times New Roman" w:hAnsi="Times New Roman"/>
          <w:sz w:val="18"/>
          <w:szCs w:val="18"/>
          <w:color w:val="auto"/>
        </w:rPr>
        <w:t>Section 14.08</w:t>
      </w:r>
      <w:r>
        <w:rPr>
          <w:rFonts w:ascii="Times New Roman" w:cs="Times New Roman" w:eastAsia="Times New Roman" w:hAnsi="Times New Roman"/>
          <w:sz w:val="18"/>
          <w:szCs w:val="18"/>
          <w:i w:val="1"/>
          <w:iCs w:val="1"/>
          <w:color w:val="auto"/>
        </w:rPr>
        <w:t>. Certain Covenants.</w:t>
      </w:r>
      <w:r>
        <w:rPr>
          <w:rFonts w:ascii="Times New Roman" w:cs="Times New Roman" w:eastAsia="Times New Roman" w:hAnsi="Times New Roman"/>
          <w:sz w:val="18"/>
          <w:szCs w:val="18"/>
          <w:color w:val="auto"/>
        </w:rPr>
        <w:t xml:space="preserve"> (a) The Company covenants that all shares of Common Stock issued upon conversion of Notes will be fully paid and non-assessable by the Company and free from all taxes, liens and charges with respect to the issue thereof.</w:t>
      </w:r>
    </w:p>
    <w:p>
      <w:pPr>
        <w:spacing w:after="0" w:line="160" w:lineRule="exact"/>
        <w:rPr>
          <w:sz w:val="20"/>
          <w:szCs w:val="20"/>
          <w:color w:val="auto"/>
        </w:rPr>
      </w:pPr>
    </w:p>
    <w:p>
      <w:pPr>
        <w:ind w:right="100" w:firstLine="436"/>
        <w:spacing w:after="0" w:line="261" w:lineRule="auto"/>
        <w:tabs>
          <w:tab w:leader="none" w:pos="695" w:val="left"/>
        </w:tabs>
        <w:numPr>
          <w:ilvl w:val="0"/>
          <w:numId w:val="7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covenants that, if any shares of Common Stock to be provided for the purpose of conversion of Notes hereunder require registration with or approval of any governmental authority under any federal or state law before such shares of Common Stock may be validly issued upon conversion, the Company will, to the extent then permitted by the rules and interpretations of the Commission, secure such registration or approval, as the case may be.</w:t>
      </w:r>
    </w:p>
    <w:p>
      <w:pPr>
        <w:spacing w:after="0" w:line="179" w:lineRule="exact"/>
        <w:rPr>
          <w:rFonts w:ascii="Times New Roman" w:cs="Times New Roman" w:eastAsia="Times New Roman" w:hAnsi="Times New Roman"/>
          <w:sz w:val="18"/>
          <w:szCs w:val="18"/>
          <w:color w:val="auto"/>
        </w:rPr>
      </w:pPr>
    </w:p>
    <w:p>
      <w:pPr>
        <w:ind w:right="440" w:firstLine="436"/>
        <w:spacing w:after="0" w:line="266" w:lineRule="auto"/>
        <w:tabs>
          <w:tab w:leader="none" w:pos="685" w:val="left"/>
        </w:tabs>
        <w:numPr>
          <w:ilvl w:val="0"/>
          <w:numId w:val="7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further covenants that if at any time the Common Stock shall be listed on any national securities exchange or automated quotation system the Company will list and keep listed, so long as the Common Stock shall be so listed on such exchange or automated quotation system, any Common Stock issuable upon conversion of the Notes.</w:t>
      </w:r>
    </w:p>
    <w:p>
      <w:pPr>
        <w:spacing w:after="0" w:line="108" w:lineRule="exact"/>
        <w:rPr>
          <w:sz w:val="20"/>
          <w:szCs w:val="20"/>
          <w:color w:val="auto"/>
        </w:rPr>
      </w:pPr>
    </w:p>
    <w:p>
      <w:pPr>
        <w:jc w:val="center"/>
        <w:ind w:right="-99"/>
        <w:spacing w:after="0"/>
        <w:rPr>
          <w:sz w:val="20"/>
          <w:szCs w:val="20"/>
          <w:color w:val="auto"/>
        </w:rPr>
      </w:pPr>
      <w:r>
        <w:rPr>
          <w:rFonts w:ascii="Times New Roman" w:cs="Times New Roman" w:eastAsia="Times New Roman" w:hAnsi="Times New Roman"/>
          <w:sz w:val="18"/>
          <w:szCs w:val="18"/>
          <w:color w:val="auto"/>
        </w:rPr>
        <w:t>79</w:t>
      </w:r>
    </w:p>
    <w:p>
      <w:pPr>
        <w:sectPr>
          <w:pgSz w:w="11900" w:h="16838" w:orient="portrait"/>
          <w:cols w:equalWidth="0" w:num="1">
            <w:col w:w="10900"/>
          </w:cols>
          <w:pgMar w:left="440" w:top="270" w:right="559" w:bottom="1440" w:gutter="0" w:footer="0" w:header="0"/>
        </w:sectPr>
      </w:pPr>
    </w:p>
    <w:bookmarkStart w:id="90" w:name="page91"/>
    <w:bookmarkEnd w:id="90"/>
    <w:p>
      <w:pPr>
        <w:ind w:firstLine="440"/>
        <w:spacing w:after="0" w:line="25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1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14.09</w:t>
      </w:r>
      <w:r>
        <w:rPr>
          <w:rFonts w:ascii="Times New Roman" w:cs="Times New Roman" w:eastAsia="Times New Roman" w:hAnsi="Times New Roman"/>
          <w:sz w:val="18"/>
          <w:szCs w:val="18"/>
          <w:i w:val="1"/>
          <w:iCs w:val="1"/>
          <w:color w:val="auto"/>
        </w:rPr>
        <w:t>. Responsibility of Trustee.</w:t>
      </w:r>
      <w:r>
        <w:rPr>
          <w:rFonts w:ascii="Times New Roman" w:cs="Times New Roman" w:eastAsia="Times New Roman" w:hAnsi="Times New Roman"/>
          <w:sz w:val="18"/>
          <w:szCs w:val="18"/>
          <w:color w:val="auto"/>
        </w:rPr>
        <w:t xml:space="preserve"> The Trustee and any other Conversion Agent shall not at any time be under any duty or responsibility to any Holder to determine the Conversion Rate (or any adjustment thereto) or whether any facts exist that may require any adjustment (including any increase) of the Conversion Rate, or with respect to the nature or extent or calculation of any such adjustment when made, or with respect to the method employed, or herein or in any supplemental indenture provided to be employed, in making the same. The Trustee and any other Conversion Agent shall not be accountable with respect to the validity or value (or the kind or amount) of any shares of Common Stock, or of any securities, property or cash that may at any time be issued or delivered upon the conversion of any Note; and the Trustee and any other Conversion Agent make no representations with respect thereto. Neither the Trustee nor any Conversion Agent shall be responsible for any failure of the Company to issue, transfer or deliver any shares of Common Stock or stock certificates or other securities or property or cash upon the surrender of any Note for the purpose of conversion or to comply with any of the duties, responsibilities or covenants of the Company contained in this Article. Without limiting the generality of the foregoing, neither the Trustee nor any Conversion Agent shall be under any responsibility to determine the correctness of any provisions contained in any supplemental indenture entered into pursuant to Section 14.07 relating either to the kind or amount of shares of stock or securities or property (including cash) receivable by Holders upon the conversion of their Notes after any event referred to in such Section 14.07 or to any adjustment to be made with respect thereto, but, subject to the provisions of Section 7.01, may accept (without any independent investigation) as conclusive evidence of the correctness of any such provisions, and shall be protected in relying upon, the Officer’s Certificate (which the Company shall be obligated to file with the Trustee prior to the execution of any such supplemental indenture) with respect thereto. Neither the Trustee nor the Conversion Agent shall be responsible for determining whether any event contemplated by Section 14.01(b) has occurred that makes the Notes eligible for conversion or no longer eligible therefor until the Company has delivered to the Trustee and the Conversion Agent the notices referred to in Section 14.01(b) with respect to the commencement or termination of such conversion rights, on which notices the Trustee and the Conversion Agent may conclusively rely, and the Company agrees to deliver such notices to the Trustee and the Conversion Agent immediately after the occurrence of any such event or at such other times as shall be provided for in Section 14.01(b). In no event shall the Trustee or the Conversion Agent be charged with knowledge of or have any duty to monitor the Stock Price or Measurement Period. The parties agree that all notices to the Trustee or the Conversion Agent under this Article 13 must be in writing.</w:t>
      </w:r>
    </w:p>
    <w:p>
      <w:pPr>
        <w:spacing w:after="0" w:line="187"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Section 14.10</w:t>
      </w:r>
      <w:r>
        <w:rPr>
          <w:rFonts w:ascii="Times New Roman" w:cs="Times New Roman" w:eastAsia="Times New Roman" w:hAnsi="Times New Roman"/>
          <w:sz w:val="18"/>
          <w:szCs w:val="18"/>
          <w:i w:val="1"/>
          <w:iCs w:val="1"/>
          <w:color w:val="auto"/>
        </w:rPr>
        <w:t>. Notice to Holders Prior to Certain Actions.</w:t>
      </w:r>
      <w:r>
        <w:rPr>
          <w:rFonts w:ascii="Times New Roman" w:cs="Times New Roman" w:eastAsia="Times New Roman" w:hAnsi="Times New Roman"/>
          <w:sz w:val="18"/>
          <w:szCs w:val="18"/>
          <w:color w:val="auto"/>
        </w:rPr>
        <w:t xml:space="preserve"> In case of any:</w:t>
      </w:r>
    </w:p>
    <w:p>
      <w:pPr>
        <w:spacing w:after="0" w:line="227" w:lineRule="exact"/>
        <w:rPr>
          <w:sz w:val="20"/>
          <w:szCs w:val="20"/>
          <w:color w:val="auto"/>
        </w:rPr>
      </w:pPr>
    </w:p>
    <w:p>
      <w:pPr>
        <w:ind w:right="580" w:firstLine="436"/>
        <w:spacing w:after="0" w:line="282" w:lineRule="auto"/>
        <w:tabs>
          <w:tab w:leader="none" w:pos="685" w:val="left"/>
        </w:tabs>
        <w:numPr>
          <w:ilvl w:val="0"/>
          <w:numId w:val="7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action by the Company or one of its Subsidiaries that would require an adjustment in the Conversion Rate pursuant to Section 14.04 or Section 14.11;</w:t>
      </w:r>
    </w:p>
    <w:p>
      <w:pPr>
        <w:spacing w:after="0" w:line="161"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7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Share Exchange Event; or</w:t>
      </w:r>
    </w:p>
    <w:p>
      <w:pPr>
        <w:spacing w:after="0" w:line="225" w:lineRule="exact"/>
        <w:rPr>
          <w:rFonts w:ascii="Times New Roman" w:cs="Times New Roman" w:eastAsia="Times New Roman" w:hAnsi="Times New Roman"/>
          <w:sz w:val="18"/>
          <w:szCs w:val="18"/>
          <w:color w:val="auto"/>
        </w:rPr>
      </w:pPr>
    </w:p>
    <w:p>
      <w:pPr>
        <w:ind w:left="680" w:hanging="244"/>
        <w:spacing w:after="0"/>
        <w:tabs>
          <w:tab w:leader="none" w:pos="680" w:val="left"/>
        </w:tabs>
        <w:numPr>
          <w:ilvl w:val="0"/>
          <w:numId w:val="7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voluntary or involuntary dissolution, liquidation or winding-up of the Company or any of its Subsidiaries;</w:t>
      </w:r>
    </w:p>
    <w:p>
      <w:pPr>
        <w:spacing w:after="0" w:line="158"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80</w:t>
      </w:r>
    </w:p>
    <w:p>
      <w:pPr>
        <w:sectPr>
          <w:pgSz w:w="11900" w:h="16838" w:orient="portrait"/>
          <w:cols w:equalWidth="0" w:num="1">
            <w:col w:w="10960"/>
          </w:cols>
          <w:pgMar w:left="440" w:top="268" w:right="499" w:bottom="1440" w:gutter="0" w:footer="0" w:header="0"/>
        </w:sectPr>
      </w:pPr>
    </w:p>
    <w:bookmarkStart w:id="91" w:name="page92"/>
    <w:bookmarkEnd w:id="91"/>
    <w:p>
      <w:pPr>
        <w:spacing w:after="0" w:line="254"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then, in each case (unless notice of such event is otherwise required pursuant to another provision of this Indenture), the Company shall cause to be filed with the Trustee and the Conversion Agent (if other than the Trustee) and to be delivered to each Holder, as promptly as possible but in any event at least 20 days prior to the applicable date hereinafter specified, a notice stating (i) the date on which a record is to be taken for the purpose of such action by the Company or one of its Subsidiaries or, if a record is not to be taken, the date as of which the holders of Common Stock of record are to be determined for the purposes of such action by the Company or one of its Subsidiaries, or (ii) the date on which such Share Exchange Event, dissolution, liquidation or winding-up is expected to become effective or occur, and the date as of which it is expected that holders of Common Stock of record shall be entitled to exchange their Common Stock for securities or other property deliverable upon such Share Exchange Event, dissolution, liquidation or winding-up. Failure to give such notice, or any defect therein, shall not affect the legality or validity of such action by the Company or one of its Subsidiaries, Share Exchange Event, dissolution, liquidation or winding-up.</w:t>
      </w:r>
    </w:p>
    <w:p>
      <w:pPr>
        <w:spacing w:after="0" w:line="186" w:lineRule="exact"/>
        <w:rPr>
          <w:sz w:val="20"/>
          <w:szCs w:val="20"/>
          <w:color w:val="auto"/>
        </w:rPr>
      </w:pPr>
    </w:p>
    <w:p>
      <w:pPr>
        <w:ind w:right="20" w:firstLine="440"/>
        <w:spacing w:after="0" w:line="256" w:lineRule="auto"/>
        <w:rPr>
          <w:sz w:val="20"/>
          <w:szCs w:val="20"/>
          <w:color w:val="auto"/>
        </w:rPr>
      </w:pPr>
      <w:r>
        <w:rPr>
          <w:rFonts w:ascii="Times New Roman" w:cs="Times New Roman" w:eastAsia="Times New Roman" w:hAnsi="Times New Roman"/>
          <w:sz w:val="18"/>
          <w:szCs w:val="18"/>
          <w:color w:val="auto"/>
        </w:rPr>
        <w:t>Section 14.11</w:t>
      </w:r>
      <w:r>
        <w:rPr>
          <w:rFonts w:ascii="Times New Roman" w:cs="Times New Roman" w:eastAsia="Times New Roman" w:hAnsi="Times New Roman"/>
          <w:sz w:val="18"/>
          <w:szCs w:val="18"/>
          <w:i w:val="1"/>
          <w:iCs w:val="1"/>
          <w:color w:val="auto"/>
        </w:rPr>
        <w:t>. Stockholder Rights Plans.</w:t>
      </w:r>
      <w:r>
        <w:rPr>
          <w:rFonts w:ascii="Times New Roman" w:cs="Times New Roman" w:eastAsia="Times New Roman" w:hAnsi="Times New Roman"/>
          <w:sz w:val="18"/>
          <w:szCs w:val="18"/>
          <w:color w:val="auto"/>
        </w:rPr>
        <w:t xml:space="preserve"> If the Company has a stockholder rights plan in effect upon conversion of the Notes, each share of Common Stock, if any, issued upon such conversion shall be entitled to receive the appropriate number of rights, if any, and the certificates representing the Common Stock issued upon such conversion shall bear such legends, if any, in each case as may be provided by the terms of any such stockholder rights plan, as the same may be amended from time to time. However, if, prior to any conversion of Notes, the rights have separated from the shares of Common Stock in accordance with the provisions of the applicable stockholder rights plan, the Conversion Rate shall be adjusted at the time of separation as if the Company distributed to all or substantially all holders of the Common Stock Distributed Property as provided in Section 14.04(c), subject to readjustment in the event of the expiration, termination or redemption of such rights.</w:t>
      </w:r>
    </w:p>
    <w:p>
      <w:pPr>
        <w:spacing w:after="0" w:line="183"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 xml:space="preserve">Section 14.12. </w:t>
      </w:r>
      <w:r>
        <w:rPr>
          <w:rFonts w:ascii="Times New Roman" w:cs="Times New Roman" w:eastAsia="Times New Roman" w:hAnsi="Times New Roman"/>
          <w:sz w:val="18"/>
          <w:szCs w:val="18"/>
          <w:i w:val="1"/>
          <w:iCs w:val="1"/>
          <w:color w:val="auto"/>
        </w:rPr>
        <w:t>Exchange in Lieu of Conversion</w:t>
      </w:r>
      <w:r>
        <w:rPr>
          <w:rFonts w:ascii="Times New Roman" w:cs="Times New Roman" w:eastAsia="Times New Roman" w:hAnsi="Times New Roman"/>
          <w:sz w:val="18"/>
          <w:szCs w:val="18"/>
          <w:color w:val="auto"/>
        </w:rPr>
        <w:t>. (a) When a Holder surrenders its Notes for conversion, the Company may, at its election (an</w:t>
      </w:r>
    </w:p>
    <w:p>
      <w:pPr>
        <w:spacing w:after="0" w:line="2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Exchange Election</w:t>
      </w:r>
      <w:r>
        <w:rPr>
          <w:rFonts w:ascii="Times New Roman" w:cs="Times New Roman" w:eastAsia="Times New Roman" w:hAnsi="Times New Roman"/>
          <w:sz w:val="18"/>
          <w:szCs w:val="18"/>
          <w:color w:val="auto"/>
        </w:rPr>
        <w:t>”), direct the Conversion Agent in writing to surrender, on or prior to the second Business Day immediately following the relevant</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Conversion Date, such Notes to a financial institution designated by the Company for exchange in lieu of conversion. In order to accept any Notes</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surrendered for conversion, the designated institution must agree to timely pay and/or deliver, in exchange for such Notes, cash, shares of Common</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Stock or a combination of cash and shares of Common Stock, at the Company’s election, that would otherwise be due upon conversion as described in</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Section 14.02 (the “</w:t>
      </w:r>
      <w:r>
        <w:rPr>
          <w:rFonts w:ascii="Times New Roman" w:cs="Times New Roman" w:eastAsia="Times New Roman" w:hAnsi="Times New Roman"/>
          <w:sz w:val="18"/>
          <w:szCs w:val="18"/>
          <w:b w:val="1"/>
          <w:bCs w:val="1"/>
          <w:color w:val="auto"/>
        </w:rPr>
        <w:t>Conversion Consideration</w:t>
      </w:r>
      <w:r>
        <w:rPr>
          <w:rFonts w:ascii="Times New Roman" w:cs="Times New Roman" w:eastAsia="Times New Roman" w:hAnsi="Times New Roman"/>
          <w:sz w:val="18"/>
          <w:szCs w:val="18"/>
          <w:color w:val="auto"/>
        </w:rPr>
        <w:t>”). If the Company makes an Exchange Election, the Company shall, by the close of business on the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Business Day immediately following the relevant Conversion Date, notify in writing the Holder surrendering its Notes for conversion and the Trustee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that the Company has made the Exchange Election and the Company shall notify the designated institution of the Settlement Method the Company has</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elected with respect to such conversion and the relevant deadline for payment and/or delivery of the Conversion Consideration.</w:t>
      </w:r>
    </w:p>
    <w:p>
      <w:pPr>
        <w:spacing w:after="0" w:line="207" w:lineRule="exact"/>
        <w:rPr>
          <w:sz w:val="20"/>
          <w:szCs w:val="20"/>
          <w:color w:val="auto"/>
        </w:rPr>
      </w:pPr>
    </w:p>
    <w:p>
      <w:pPr>
        <w:ind w:right="40" w:firstLine="436"/>
        <w:spacing w:after="0" w:line="256" w:lineRule="auto"/>
        <w:tabs>
          <w:tab w:leader="none" w:pos="695" w:val="left"/>
        </w:tabs>
        <w:numPr>
          <w:ilvl w:val="0"/>
          <w:numId w:val="7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designated institution accepts any such Notes, it shall pay and/or deliver, as the case may be, the cash, shares of Common Stock or a combination thereof due upon conversion to the Conversion Agent, and the Conversion Agent shall pay and/or deliver such cash and/or shares of Common Stock to such Holder on the third Business Day immediately following the relevant Conversion Date. Any Notes exchanged by the designated institution will remain outstanding, subject to applicable DTC procedures. If the designated institution agrees to accept any Notes for exchange but does not timely pay and/or deliver the related Conversion Consideration, or if such designated institution does not accept the Notes for exchange, the Company shall pay and/or deliver the relevant Conversion Consideration as if the Company had not made an Exchange Election.</w:t>
      </w:r>
    </w:p>
    <w:p>
      <w:pPr>
        <w:spacing w:after="0" w:line="120"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81</w:t>
      </w:r>
    </w:p>
    <w:p>
      <w:pPr>
        <w:sectPr>
          <w:pgSz w:w="11900" w:h="16838" w:orient="portrait"/>
          <w:cols w:equalWidth="0" w:num="1">
            <w:col w:w="10980"/>
          </w:cols>
          <w:pgMar w:left="440" w:top="270" w:right="479" w:bottom="1440" w:gutter="0" w:footer="0" w:header="0"/>
        </w:sectPr>
      </w:pPr>
    </w:p>
    <w:bookmarkStart w:id="92" w:name="page93"/>
    <w:bookmarkEnd w:id="92"/>
    <w:p>
      <w:pPr>
        <w:ind w:right="240" w:firstLine="436"/>
        <w:spacing w:after="0" w:line="266" w:lineRule="auto"/>
        <w:tabs>
          <w:tab w:leader="none" w:pos="685" w:val="left"/>
        </w:tabs>
        <w:numPr>
          <w:ilvl w:val="0"/>
          <w:numId w:val="8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1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Company’s designation of a financial institution to which the Notes may be submitted for exchange does not require such institution to accept any Notes. The Company may, but shall not be obligated to, enter into a separate agreement with any designated institution that would compensate it for any such transaction.</w:t>
      </w:r>
    </w:p>
    <w:p>
      <w:pPr>
        <w:spacing w:after="0" w:line="176"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ARTICLE 15</w:t>
      </w:r>
    </w:p>
    <w:p>
      <w:pPr>
        <w:spacing w:after="0" w:line="27"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R</w:t>
      </w:r>
      <w:r>
        <w:rPr>
          <w:rFonts w:ascii="Times New Roman" w:cs="Times New Roman" w:eastAsia="Times New Roman" w:hAnsi="Times New Roman"/>
          <w:sz w:val="14"/>
          <w:szCs w:val="14"/>
          <w:color w:val="auto"/>
        </w:rPr>
        <w:t>EPURCHASE OF</w:t>
      </w:r>
      <w:r>
        <w:rPr>
          <w:rFonts w:ascii="Times New Roman" w:cs="Times New Roman" w:eastAsia="Times New Roman" w:hAnsi="Times New Roman"/>
          <w:sz w:val="18"/>
          <w:szCs w:val="18"/>
          <w:color w:val="auto"/>
        </w:rPr>
        <w:t xml:space="preserve"> N</w:t>
      </w:r>
      <w:r>
        <w:rPr>
          <w:rFonts w:ascii="Times New Roman" w:cs="Times New Roman" w:eastAsia="Times New Roman" w:hAnsi="Times New Roman"/>
          <w:sz w:val="14"/>
          <w:szCs w:val="14"/>
          <w:color w:val="auto"/>
        </w:rPr>
        <w:t>OTES AT</w:t>
      </w:r>
      <w:r>
        <w:rPr>
          <w:rFonts w:ascii="Times New Roman" w:cs="Times New Roman" w:eastAsia="Times New Roman" w:hAnsi="Times New Roman"/>
          <w:sz w:val="18"/>
          <w:szCs w:val="18"/>
          <w:color w:val="auto"/>
        </w:rPr>
        <w:t xml:space="preserve"> O</w:t>
      </w:r>
      <w:r>
        <w:rPr>
          <w:rFonts w:ascii="Times New Roman" w:cs="Times New Roman" w:eastAsia="Times New Roman" w:hAnsi="Times New Roman"/>
          <w:sz w:val="14"/>
          <w:szCs w:val="14"/>
          <w:color w:val="auto"/>
        </w:rPr>
        <w:t>PTION OF</w:t>
      </w:r>
      <w:r>
        <w:rPr>
          <w:rFonts w:ascii="Times New Roman" w:cs="Times New Roman" w:eastAsia="Times New Roman" w:hAnsi="Times New Roman"/>
          <w:sz w:val="18"/>
          <w:szCs w:val="18"/>
          <w:color w:val="auto"/>
        </w:rPr>
        <w:t xml:space="preserve"> H</w:t>
      </w:r>
      <w:r>
        <w:rPr>
          <w:rFonts w:ascii="Times New Roman" w:cs="Times New Roman" w:eastAsia="Times New Roman" w:hAnsi="Times New Roman"/>
          <w:sz w:val="14"/>
          <w:szCs w:val="14"/>
          <w:color w:val="auto"/>
        </w:rPr>
        <w:t>OLDERS</w:t>
      </w:r>
    </w:p>
    <w:p>
      <w:pPr>
        <w:spacing w:after="0" w:line="205" w:lineRule="exact"/>
        <w:rPr>
          <w:sz w:val="20"/>
          <w:szCs w:val="20"/>
          <w:color w:val="auto"/>
        </w:rPr>
      </w:pPr>
    </w:p>
    <w:p>
      <w:pPr>
        <w:ind w:right="40" w:firstLine="440"/>
        <w:spacing w:after="0" w:line="254" w:lineRule="auto"/>
        <w:rPr>
          <w:sz w:val="20"/>
          <w:szCs w:val="20"/>
          <w:color w:val="auto"/>
        </w:rPr>
      </w:pPr>
      <w:r>
        <w:rPr>
          <w:rFonts w:ascii="Times New Roman" w:cs="Times New Roman" w:eastAsia="Times New Roman" w:hAnsi="Times New Roman"/>
          <w:sz w:val="18"/>
          <w:szCs w:val="18"/>
          <w:color w:val="auto"/>
        </w:rPr>
        <w:t>Section 15.01</w:t>
      </w:r>
      <w:r>
        <w:rPr>
          <w:rFonts w:ascii="Times New Roman" w:cs="Times New Roman" w:eastAsia="Times New Roman" w:hAnsi="Times New Roman"/>
          <w:sz w:val="18"/>
          <w:szCs w:val="18"/>
          <w:i w:val="1"/>
          <w:iCs w:val="1"/>
          <w:color w:val="auto"/>
        </w:rPr>
        <w:t>. Repurchase at Option of Holders</w:t>
      </w:r>
      <w:r>
        <w:rPr>
          <w:rFonts w:ascii="Times New Roman" w:cs="Times New Roman" w:eastAsia="Times New Roman" w:hAnsi="Times New Roman"/>
          <w:sz w:val="18"/>
          <w:szCs w:val="18"/>
          <w:color w:val="auto"/>
        </w:rPr>
        <w:t>. (a) Each Holder shall have the right, at such Holder’s option, to require the Company to repurchase for cash on June 15, 2029 (the “</w:t>
      </w:r>
      <w:r>
        <w:rPr>
          <w:rFonts w:ascii="Times New Roman" w:cs="Times New Roman" w:eastAsia="Times New Roman" w:hAnsi="Times New Roman"/>
          <w:sz w:val="18"/>
          <w:szCs w:val="18"/>
          <w:b w:val="1"/>
          <w:bCs w:val="1"/>
          <w:color w:val="auto"/>
        </w:rPr>
        <w:t>Repurchase Date</w:t>
      </w:r>
      <w:r>
        <w:rPr>
          <w:rFonts w:ascii="Times New Roman" w:cs="Times New Roman" w:eastAsia="Times New Roman" w:hAnsi="Times New Roman"/>
          <w:sz w:val="18"/>
          <w:szCs w:val="18"/>
          <w:color w:val="auto"/>
        </w:rPr>
        <w:t>”), all of such Holder’s Notes, or any portion thereof that is an integral multiple of $1,000 principal amount, at a repurchase price (the “</w:t>
      </w:r>
      <w:r>
        <w:rPr>
          <w:rFonts w:ascii="Times New Roman" w:cs="Times New Roman" w:eastAsia="Times New Roman" w:hAnsi="Times New Roman"/>
          <w:sz w:val="18"/>
          <w:szCs w:val="18"/>
          <w:b w:val="1"/>
          <w:bCs w:val="1"/>
          <w:color w:val="auto"/>
        </w:rPr>
        <w:t>Repurchase Price</w:t>
      </w:r>
      <w:r>
        <w:rPr>
          <w:rFonts w:ascii="Times New Roman" w:cs="Times New Roman" w:eastAsia="Times New Roman" w:hAnsi="Times New Roman"/>
          <w:sz w:val="18"/>
          <w:szCs w:val="18"/>
          <w:color w:val="auto"/>
        </w:rPr>
        <w:t xml:space="preserve">”) that is equal to 100% of the principal amount of the Notes to be repurchased, </w:t>
      </w:r>
      <w:r>
        <w:rPr>
          <w:rFonts w:ascii="Times New Roman" w:cs="Times New Roman" w:eastAsia="Times New Roman" w:hAnsi="Times New Roman"/>
          <w:sz w:val="18"/>
          <w:szCs w:val="18"/>
          <w:i w:val="1"/>
          <w:iCs w:val="1"/>
          <w:color w:val="auto"/>
        </w:rPr>
        <w:t>plus</w:t>
      </w:r>
      <w:r>
        <w:rPr>
          <w:rFonts w:ascii="Times New Roman" w:cs="Times New Roman" w:eastAsia="Times New Roman" w:hAnsi="Times New Roman"/>
          <w:sz w:val="18"/>
          <w:szCs w:val="18"/>
          <w:color w:val="auto"/>
        </w:rPr>
        <w:t xml:space="preserve"> accrued and unpaid interest to, but excluding, the Repurchase Date;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any such accrued and unpaid interest shall be paid not to the Holders submitting the Notes for repurchase on the Repurchase Date but instead to the Holders of such Notes at the close of business on the Regular Record Date immediately preceding the Repurchase Date. Not later than 20 Business Days prior to the Repurchase Date, the Company shall mail a notice (the “</w:t>
      </w:r>
      <w:r>
        <w:rPr>
          <w:rFonts w:ascii="Times New Roman" w:cs="Times New Roman" w:eastAsia="Times New Roman" w:hAnsi="Times New Roman"/>
          <w:sz w:val="18"/>
          <w:szCs w:val="18"/>
          <w:b w:val="1"/>
          <w:bCs w:val="1"/>
          <w:color w:val="auto"/>
        </w:rPr>
        <w:t>Company Notice</w:t>
      </w:r>
      <w:r>
        <w:rPr>
          <w:rFonts w:ascii="Times New Roman" w:cs="Times New Roman" w:eastAsia="Times New Roman" w:hAnsi="Times New Roman"/>
          <w:sz w:val="18"/>
          <w:szCs w:val="18"/>
          <w:color w:val="auto"/>
        </w:rPr>
        <w:t>”) by first class mail to the Trustee, to the Paying Agent and to each Holder at its address shown in the Note Register of the Note Registrar (and to beneficial owners as required by applicable law). The Company Notice shall include a Form of Repurchase Notice to be completed by a holder and shall state:</w:t>
      </w:r>
    </w:p>
    <w:p>
      <w:pPr>
        <w:spacing w:after="0" w:line="78" w:lineRule="exact"/>
        <w:rPr>
          <w:sz w:val="20"/>
          <w:szCs w:val="20"/>
          <w:color w:val="auto"/>
        </w:rPr>
      </w:pPr>
    </w:p>
    <w:p>
      <w:pPr>
        <w:ind w:left="1080" w:hanging="221"/>
        <w:spacing w:after="0"/>
        <w:tabs>
          <w:tab w:leader="none" w:pos="1080" w:val="left"/>
        </w:tabs>
        <w:numPr>
          <w:ilvl w:val="0"/>
          <w:numId w:val="8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last date on which a Holder may exercise its repurchase right pursuant to this Section 15.01 (the “</w:t>
      </w:r>
      <w:r>
        <w:rPr>
          <w:rFonts w:ascii="Times New Roman" w:cs="Times New Roman" w:eastAsia="Times New Roman" w:hAnsi="Times New Roman"/>
          <w:sz w:val="18"/>
          <w:szCs w:val="18"/>
          <w:b w:val="1"/>
          <w:bCs w:val="1"/>
          <w:color w:val="auto"/>
        </w:rPr>
        <w:t>Repurchase Expiration Time</w:t>
      </w:r>
      <w:r>
        <w:rPr>
          <w:rFonts w:ascii="Times New Roman" w:cs="Times New Roman" w:eastAsia="Times New Roman" w:hAnsi="Times New Roman"/>
          <w:sz w:val="18"/>
          <w:szCs w:val="18"/>
          <w:color w:val="auto"/>
        </w:rPr>
        <w:t>”);</w:t>
      </w:r>
    </w:p>
    <w:p>
      <w:pPr>
        <w:spacing w:after="0" w:line="121"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0"/>
          <w:numId w:val="8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Repurchase Price;</w:t>
      </w:r>
    </w:p>
    <w:p>
      <w:pPr>
        <w:spacing w:after="0" w:line="117" w:lineRule="exact"/>
        <w:rPr>
          <w:rFonts w:ascii="Times New Roman" w:cs="Times New Roman" w:eastAsia="Times New Roman" w:hAnsi="Times New Roman"/>
          <w:sz w:val="18"/>
          <w:szCs w:val="18"/>
          <w:color w:val="auto"/>
        </w:rPr>
      </w:pPr>
    </w:p>
    <w:p>
      <w:pPr>
        <w:ind w:left="1180" w:hanging="321"/>
        <w:spacing w:after="0"/>
        <w:tabs>
          <w:tab w:leader="none" w:pos="1180" w:val="left"/>
        </w:tabs>
        <w:numPr>
          <w:ilvl w:val="0"/>
          <w:numId w:val="8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Repurchase Date;</w:t>
      </w:r>
    </w:p>
    <w:p>
      <w:pPr>
        <w:spacing w:after="0" w:line="117" w:lineRule="exact"/>
        <w:rPr>
          <w:rFonts w:ascii="Times New Roman" w:cs="Times New Roman" w:eastAsia="Times New Roman" w:hAnsi="Times New Roman"/>
          <w:sz w:val="18"/>
          <w:szCs w:val="18"/>
          <w:color w:val="auto"/>
        </w:rPr>
      </w:pPr>
    </w:p>
    <w:p>
      <w:pPr>
        <w:ind w:left="1160" w:hanging="301"/>
        <w:spacing w:after="0"/>
        <w:tabs>
          <w:tab w:leader="none" w:pos="1160" w:val="left"/>
        </w:tabs>
        <w:numPr>
          <w:ilvl w:val="0"/>
          <w:numId w:val="8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name and address of the Conversion Agent and Paying Agent;</w:t>
      </w:r>
    </w:p>
    <w:p>
      <w:pPr>
        <w:spacing w:after="0" w:line="117" w:lineRule="exact"/>
        <w:rPr>
          <w:rFonts w:ascii="Times New Roman" w:cs="Times New Roman" w:eastAsia="Times New Roman" w:hAnsi="Times New Roman"/>
          <w:sz w:val="18"/>
          <w:szCs w:val="18"/>
          <w:color w:val="auto"/>
        </w:rPr>
      </w:pPr>
    </w:p>
    <w:p>
      <w:pPr>
        <w:ind w:left="440" w:firstLine="419"/>
        <w:spacing w:after="0" w:line="282" w:lineRule="auto"/>
        <w:tabs>
          <w:tab w:leader="none" w:pos="1118" w:val="left"/>
        </w:tabs>
        <w:numPr>
          <w:ilvl w:val="0"/>
          <w:numId w:val="8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the Notes with respect to which a Repurchase Notice has been delivered by a Holder may be converted only if the Holder withdraws the Repurchase Notice in accordance with the terms of this Indenture;</w:t>
      </w:r>
    </w:p>
    <w:p>
      <w:pPr>
        <w:spacing w:after="0" w:line="53" w:lineRule="exact"/>
        <w:rPr>
          <w:rFonts w:ascii="Times New Roman" w:cs="Times New Roman" w:eastAsia="Times New Roman" w:hAnsi="Times New Roman"/>
          <w:sz w:val="18"/>
          <w:szCs w:val="18"/>
          <w:color w:val="auto"/>
        </w:rPr>
      </w:pPr>
    </w:p>
    <w:p>
      <w:pPr>
        <w:ind w:left="1160" w:hanging="301"/>
        <w:spacing w:after="0"/>
        <w:tabs>
          <w:tab w:leader="none" w:pos="1160" w:val="left"/>
        </w:tabs>
        <w:numPr>
          <w:ilvl w:val="0"/>
          <w:numId w:val="8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the Holder shall have the right to withdraw any Notes surrendered prior to the Repurchase Expiration Time; and</w:t>
      </w:r>
    </w:p>
    <w:p>
      <w:pPr>
        <w:spacing w:after="0" w:line="117" w:lineRule="exact"/>
        <w:rPr>
          <w:rFonts w:ascii="Times New Roman" w:cs="Times New Roman" w:eastAsia="Times New Roman" w:hAnsi="Times New Roman"/>
          <w:sz w:val="18"/>
          <w:szCs w:val="18"/>
          <w:color w:val="auto"/>
        </w:rPr>
      </w:pPr>
    </w:p>
    <w:p>
      <w:pPr>
        <w:ind w:left="5420" w:right="220" w:hanging="4561"/>
        <w:spacing w:after="0" w:line="454" w:lineRule="auto"/>
        <w:tabs>
          <w:tab w:leader="none" w:pos="1220" w:val="left"/>
        </w:tabs>
        <w:numPr>
          <w:ilvl w:val="0"/>
          <w:numId w:val="8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procedures a Holder must follow to exercise its repurchase rights under this Section 15.01 and a brief description of those rights. 82</w:t>
      </w:r>
    </w:p>
    <w:p>
      <w:pPr>
        <w:sectPr>
          <w:pgSz w:w="11900" w:h="16838" w:orient="portrait"/>
          <w:cols w:equalWidth="0" w:num="1">
            <w:col w:w="10960"/>
          </w:cols>
          <w:pgMar w:left="440" w:top="270" w:right="499" w:bottom="1440" w:gutter="0" w:footer="0" w:header="0"/>
        </w:sectPr>
      </w:pPr>
    </w:p>
    <w:bookmarkStart w:id="93" w:name="page94"/>
    <w:bookmarkEnd w:id="93"/>
    <w:p>
      <w:pPr>
        <w:ind w:right="400"/>
        <w:spacing w:after="0" w:line="284"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1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At the Company’s request, the Trustee shall give such notice in the Company’s name and at the Company’s expense;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in all cases, the text of such Company Notice shall be prepared by the Company.</w:t>
      </w:r>
    </w:p>
    <w:p>
      <w:pPr>
        <w:spacing w:after="0" w:line="160" w:lineRule="exact"/>
        <w:rPr>
          <w:sz w:val="20"/>
          <w:szCs w:val="20"/>
          <w:color w:val="auto"/>
        </w:rPr>
      </w:pPr>
    </w:p>
    <w:p>
      <w:pPr>
        <w:jc w:val="both"/>
        <w:ind w:right="340" w:firstLine="440"/>
        <w:spacing w:after="0" w:line="266" w:lineRule="auto"/>
        <w:rPr>
          <w:sz w:val="20"/>
          <w:szCs w:val="20"/>
          <w:color w:val="auto"/>
        </w:rPr>
      </w:pPr>
      <w:r>
        <w:rPr>
          <w:rFonts w:ascii="Times New Roman" w:cs="Times New Roman" w:eastAsia="Times New Roman" w:hAnsi="Times New Roman"/>
          <w:sz w:val="18"/>
          <w:szCs w:val="18"/>
          <w:color w:val="auto"/>
        </w:rPr>
        <w:t>Simultaneously with providing the Company Notice, the Company shall publish a notice containing the information included in the Company Notice in a newspaper of general circulation in The City of New York or publish such information on the Company’s website or through such other public medium as the Company may use at that time.</w:t>
      </w:r>
    </w:p>
    <w:p>
      <w:pPr>
        <w:spacing w:after="0" w:line="176"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Repurchases of Notes under this Section 15.01 shall be made, at the option of the Holder thereof, upon:</w:t>
      </w:r>
    </w:p>
    <w:p>
      <w:pPr>
        <w:spacing w:after="0" w:line="113" w:lineRule="exact"/>
        <w:rPr>
          <w:sz w:val="20"/>
          <w:szCs w:val="20"/>
          <w:color w:val="auto"/>
        </w:rPr>
      </w:pPr>
    </w:p>
    <w:p>
      <w:pPr>
        <w:ind w:left="980" w:right="200" w:firstLine="408"/>
        <w:spacing w:after="0" w:line="259" w:lineRule="auto"/>
        <w:tabs>
          <w:tab w:leader="none" w:pos="1676" w:val="left"/>
        </w:tabs>
        <w:numPr>
          <w:ilvl w:val="0"/>
          <w:numId w:val="8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delivery to the Paying Agent by the Holder of a duly completed notice (the “</w:t>
      </w:r>
      <w:r>
        <w:rPr>
          <w:rFonts w:ascii="Times New Roman" w:cs="Times New Roman" w:eastAsia="Times New Roman" w:hAnsi="Times New Roman"/>
          <w:sz w:val="18"/>
          <w:szCs w:val="18"/>
          <w:b w:val="1"/>
          <w:bCs w:val="1"/>
          <w:color w:val="auto"/>
        </w:rPr>
        <w:t>Repurchase Notice</w:t>
      </w:r>
      <w:r>
        <w:rPr>
          <w:rFonts w:ascii="Times New Roman" w:cs="Times New Roman" w:eastAsia="Times New Roman" w:hAnsi="Times New Roman"/>
          <w:sz w:val="18"/>
          <w:szCs w:val="18"/>
          <w:color w:val="auto"/>
        </w:rPr>
        <w:t>”) in the form set forth in Attachment 3 to the Form of Note attached hereto as Exhibit A, if the Notes are Physical Notes, or in compliance with the Depositary’s procedures for surrendering interests in global notes, if the Notes are Global Notes, in each case during the period beginning at any time from the open of business on the date that is 20 Business Days prior to the Repurchase Date until the close of business on the second Business Day immediately preceding the Repurchase Date; and</w:t>
      </w:r>
    </w:p>
    <w:p>
      <w:pPr>
        <w:spacing w:after="0" w:line="75" w:lineRule="exact"/>
        <w:rPr>
          <w:rFonts w:ascii="Times New Roman" w:cs="Times New Roman" w:eastAsia="Times New Roman" w:hAnsi="Times New Roman"/>
          <w:sz w:val="18"/>
          <w:szCs w:val="18"/>
          <w:color w:val="auto"/>
        </w:rPr>
      </w:pPr>
    </w:p>
    <w:p>
      <w:pPr>
        <w:jc w:val="both"/>
        <w:ind w:left="980" w:firstLine="408"/>
        <w:spacing w:after="0" w:line="261" w:lineRule="auto"/>
        <w:tabs>
          <w:tab w:leader="none" w:pos="1666" w:val="left"/>
        </w:tabs>
        <w:numPr>
          <w:ilvl w:val="0"/>
          <w:numId w:val="8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delivery of the Notes, if the Notes are Physical Notes, to the Paying Agent at any time after delivery of the Repurchase Notice (together with all necessary endorsements) at the address of the Paying Agent set forth in the Company Notice, or book-entry transfer of the Notes, if the Notes are Global Notes, in compliance with the procedures of the Depositary, in each case such delivery being a condition to receipt by the Holder of the Repurchase Price therefor.</w:t>
      </w:r>
    </w:p>
    <w:p>
      <w:pPr>
        <w:spacing w:after="0" w:line="180"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Each Repurchase Notice shall state:</w:t>
      </w:r>
    </w:p>
    <w:p>
      <w:pPr>
        <w:spacing w:after="0" w:line="117" w:lineRule="exact"/>
        <w:rPr>
          <w:sz w:val="20"/>
          <w:szCs w:val="20"/>
          <w:color w:val="auto"/>
        </w:rPr>
      </w:pPr>
    </w:p>
    <w:p>
      <w:pPr>
        <w:ind w:left="1680" w:hanging="292"/>
        <w:spacing w:after="0"/>
        <w:tabs>
          <w:tab w:leader="none" w:pos="1680" w:val="left"/>
        </w:tabs>
        <w:numPr>
          <w:ilvl w:val="0"/>
          <w:numId w:val="8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case of Physical Notes, the certificate numbers of the Notes to be delivered for repurchase;</w:t>
      </w:r>
    </w:p>
    <w:p>
      <w:pPr>
        <w:spacing w:after="0" w:line="117" w:lineRule="exact"/>
        <w:rPr>
          <w:rFonts w:ascii="Times New Roman" w:cs="Times New Roman" w:eastAsia="Times New Roman" w:hAnsi="Times New Roman"/>
          <w:sz w:val="18"/>
          <w:szCs w:val="18"/>
          <w:color w:val="auto"/>
        </w:rPr>
      </w:pPr>
    </w:p>
    <w:p>
      <w:pPr>
        <w:ind w:left="1680" w:hanging="292"/>
        <w:spacing w:after="0"/>
        <w:tabs>
          <w:tab w:leader="none" w:pos="1680" w:val="left"/>
        </w:tabs>
        <w:numPr>
          <w:ilvl w:val="0"/>
          <w:numId w:val="8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portion of the principal amount of the Notes to be repurchased, which must be $1,000 or an integral multiple thereof; and</w:t>
      </w:r>
    </w:p>
    <w:p>
      <w:pPr>
        <w:spacing w:after="0" w:line="117" w:lineRule="exact"/>
        <w:rPr>
          <w:rFonts w:ascii="Times New Roman" w:cs="Times New Roman" w:eastAsia="Times New Roman" w:hAnsi="Times New Roman"/>
          <w:sz w:val="18"/>
          <w:szCs w:val="18"/>
          <w:color w:val="auto"/>
        </w:rPr>
      </w:pPr>
    </w:p>
    <w:p>
      <w:pPr>
        <w:ind w:left="1680" w:hanging="292"/>
        <w:spacing w:after="0"/>
        <w:tabs>
          <w:tab w:leader="none" w:pos="1680" w:val="left"/>
        </w:tabs>
        <w:numPr>
          <w:ilvl w:val="0"/>
          <w:numId w:val="8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the Notes are to be repurchased by the Company pursuant to the applicable provisions of the Notes and this Indenture;</w:t>
      </w:r>
    </w:p>
    <w:p>
      <w:pPr>
        <w:spacing w:after="0" w:line="22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if the Notes are Global Notes, the Repurchase Notice must comply with appropriate Depositary procedures.</w:t>
      </w:r>
    </w:p>
    <w:p>
      <w:pPr>
        <w:spacing w:after="0" w:line="227" w:lineRule="exact"/>
        <w:rPr>
          <w:sz w:val="20"/>
          <w:szCs w:val="20"/>
          <w:color w:val="auto"/>
        </w:rPr>
      </w:pPr>
    </w:p>
    <w:p>
      <w:pPr>
        <w:ind w:right="440" w:firstLine="440"/>
        <w:spacing w:after="0" w:line="261" w:lineRule="auto"/>
        <w:rPr>
          <w:sz w:val="20"/>
          <w:szCs w:val="20"/>
          <w:color w:val="auto"/>
        </w:rPr>
      </w:pPr>
      <w:r>
        <w:rPr>
          <w:rFonts w:ascii="Times New Roman" w:cs="Times New Roman" w:eastAsia="Times New Roman" w:hAnsi="Times New Roman"/>
          <w:sz w:val="18"/>
          <w:szCs w:val="18"/>
          <w:color w:val="auto"/>
        </w:rPr>
        <w:t>Notwithstanding anything herein to the contrary, any Holder delivering to the Paying Agent the Repurchase Notice contemplated by this Section 15.01 shall have the right to withdraw, in whole or in part, such Repurchase Notice at any time prior to the close of business on the second Business Day immediately preceding the Repurchase Date by delivery of a duly completed written notice of withdrawal to the Paying Agent in accordance with Section 15.03.</w:t>
      </w:r>
    </w:p>
    <w:p>
      <w:pPr>
        <w:spacing w:after="0" w:line="112"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83</w:t>
      </w:r>
    </w:p>
    <w:p>
      <w:pPr>
        <w:sectPr>
          <w:pgSz w:w="11900" w:h="16838" w:orient="portrait"/>
          <w:cols w:equalWidth="0" w:num="1">
            <w:col w:w="10980"/>
          </w:cols>
          <w:pgMar w:left="440" w:top="268" w:right="479" w:bottom="1440" w:gutter="0" w:footer="0" w:header="0"/>
        </w:sectPr>
      </w:pPr>
    </w:p>
    <w:bookmarkStart w:id="94" w:name="page95"/>
    <w:bookmarkEnd w:id="94"/>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1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Paying Agent shall promptly notify the Company of the receipt by it of any Repurchase Notice or written notice of withdrawal thereof.</w:t>
      </w:r>
    </w:p>
    <w:p>
      <w:pPr>
        <w:spacing w:after="0" w:line="225" w:lineRule="exact"/>
        <w:rPr>
          <w:sz w:val="20"/>
          <w:szCs w:val="20"/>
          <w:color w:val="auto"/>
        </w:rPr>
      </w:pPr>
    </w:p>
    <w:p>
      <w:pPr>
        <w:ind w:firstLine="440"/>
        <w:spacing w:after="0" w:line="266" w:lineRule="auto"/>
        <w:rPr>
          <w:sz w:val="20"/>
          <w:szCs w:val="20"/>
          <w:color w:val="auto"/>
        </w:rPr>
      </w:pPr>
      <w:r>
        <w:rPr>
          <w:rFonts w:ascii="Times New Roman" w:cs="Times New Roman" w:eastAsia="Times New Roman" w:hAnsi="Times New Roman"/>
          <w:sz w:val="18"/>
          <w:szCs w:val="18"/>
          <w:color w:val="auto"/>
        </w:rPr>
        <w:t>No Repurchase Notice with respect to any Notes may be delivered and no Note may be surrendered for repurchase pursuant to this Section 15.01 by a Holder thereof to the extent such Holder has also delivered a Fundamental Change Repurchase Notice with respect to such Note in accordance with Section 15.02 and not validly withdrawn such Fundamental Change Repurchase Notice in accordance with Section 15.03.</w:t>
      </w:r>
    </w:p>
    <w:p>
      <w:pPr>
        <w:spacing w:after="0" w:line="176" w:lineRule="exact"/>
        <w:rPr>
          <w:sz w:val="20"/>
          <w:szCs w:val="20"/>
          <w:color w:val="auto"/>
        </w:rPr>
      </w:pPr>
    </w:p>
    <w:p>
      <w:pPr>
        <w:ind w:right="60" w:firstLine="436"/>
        <w:spacing w:after="0" w:line="255" w:lineRule="auto"/>
        <w:tabs>
          <w:tab w:leader="none" w:pos="695" w:val="left"/>
        </w:tabs>
        <w:numPr>
          <w:ilvl w:val="0"/>
          <w:numId w:val="8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Notwithstanding the foregoing, no Notes may be repurchased by the Company at the option of the Holders on the Repurchase Date if the principal amount of the Notes has been accelerated, and such acceleration has not been rescinded, on or prior to such Repurchase Date (except in the case of an acceleration resulting from a Default by the Company in the payment of the Repurchase Price with respect to such Notes). The Paying Agent will promptly return to the respective Holders thereof any Physical Notes held by it during the acceleration of the Notes (except in the case of an acceleration resulting from a Default by the Company in the payment of the Repurchase Price with respect to such Notes), or any instructions for book-entry transfer of the Notes in compliance with the procedures of the Depositary shall be deemed to have been cancelled, and, upon such return or cancellation, as the case may be, the Repurchase Notice with respect thereto shall be deemed to have been withdrawn.</w:t>
      </w:r>
    </w:p>
    <w:p>
      <w:pPr>
        <w:spacing w:after="0" w:line="187" w:lineRule="exact"/>
        <w:rPr>
          <w:sz w:val="20"/>
          <w:szCs w:val="20"/>
          <w:color w:val="auto"/>
        </w:rPr>
      </w:pPr>
    </w:p>
    <w:p>
      <w:pPr>
        <w:ind w:firstLine="440"/>
        <w:spacing w:after="0" w:line="253" w:lineRule="auto"/>
        <w:rPr>
          <w:sz w:val="20"/>
          <w:szCs w:val="20"/>
          <w:color w:val="auto"/>
        </w:rPr>
      </w:pPr>
      <w:r>
        <w:rPr>
          <w:rFonts w:ascii="Times New Roman" w:cs="Times New Roman" w:eastAsia="Times New Roman" w:hAnsi="Times New Roman"/>
          <w:sz w:val="18"/>
          <w:szCs w:val="18"/>
          <w:color w:val="auto"/>
        </w:rPr>
        <w:t>Section 15.02</w:t>
      </w:r>
      <w:r>
        <w:rPr>
          <w:rFonts w:ascii="Times New Roman" w:cs="Times New Roman" w:eastAsia="Times New Roman" w:hAnsi="Times New Roman"/>
          <w:sz w:val="18"/>
          <w:szCs w:val="18"/>
          <w:i w:val="1"/>
          <w:iCs w:val="1"/>
          <w:color w:val="auto"/>
        </w:rPr>
        <w:t>. Repurchase at Option of Holders Upon a Fundamental Change.</w:t>
      </w:r>
      <w:r>
        <w:rPr>
          <w:rFonts w:ascii="Times New Roman" w:cs="Times New Roman" w:eastAsia="Times New Roman" w:hAnsi="Times New Roman"/>
          <w:sz w:val="18"/>
          <w:szCs w:val="18"/>
          <w:color w:val="auto"/>
        </w:rPr>
        <w:t xml:space="preserve"> (a) If a Fundamental Change occurs at any time prior to the Maturity Date, each Holder shall have the right, at such Holder’s option, to require the Company to repurchase for cash all of such Holder’s Notes, or any portion thereof that is equal to $1,000 or an integral multiple of $1,000, on the date (the “</w:t>
      </w:r>
      <w:r>
        <w:rPr>
          <w:rFonts w:ascii="Times New Roman" w:cs="Times New Roman" w:eastAsia="Times New Roman" w:hAnsi="Times New Roman"/>
          <w:sz w:val="18"/>
          <w:szCs w:val="18"/>
          <w:b w:val="1"/>
          <w:bCs w:val="1"/>
          <w:color w:val="auto"/>
        </w:rPr>
        <w:t>Fundamental Change Repurchase Date</w:t>
      </w:r>
      <w:r>
        <w:rPr>
          <w:rFonts w:ascii="Times New Roman" w:cs="Times New Roman" w:eastAsia="Times New Roman" w:hAnsi="Times New Roman"/>
          <w:sz w:val="18"/>
          <w:szCs w:val="18"/>
          <w:color w:val="auto"/>
        </w:rPr>
        <w:t xml:space="preserve">”) specified by the Company that is not less than 20 Business Days or more than 35 Business Days following the date of the Fundamental Change Company Notice at a repurchase price equal to 100% of the principal amount thereof, </w:t>
      </w:r>
      <w:r>
        <w:rPr>
          <w:rFonts w:ascii="Times New Roman" w:cs="Times New Roman" w:eastAsia="Times New Roman" w:hAnsi="Times New Roman"/>
          <w:sz w:val="18"/>
          <w:szCs w:val="18"/>
          <w:i w:val="1"/>
          <w:iCs w:val="1"/>
          <w:color w:val="auto"/>
        </w:rPr>
        <w:t>plus</w:t>
      </w:r>
      <w:r>
        <w:rPr>
          <w:rFonts w:ascii="Times New Roman" w:cs="Times New Roman" w:eastAsia="Times New Roman" w:hAnsi="Times New Roman"/>
          <w:sz w:val="18"/>
          <w:szCs w:val="18"/>
          <w:color w:val="auto"/>
        </w:rPr>
        <w:t xml:space="preserve"> accrued and unpaid interest thereon to, but excluding, the Fundamental Change Repurchase Date (the “</w:t>
      </w:r>
      <w:r>
        <w:rPr>
          <w:rFonts w:ascii="Times New Roman" w:cs="Times New Roman" w:eastAsia="Times New Roman" w:hAnsi="Times New Roman"/>
          <w:sz w:val="18"/>
          <w:szCs w:val="18"/>
          <w:b w:val="1"/>
          <w:bCs w:val="1"/>
          <w:color w:val="auto"/>
        </w:rPr>
        <w:t>Fundamental Change Repurchase Price</w:t>
      </w:r>
      <w:r>
        <w:rPr>
          <w:rFonts w:ascii="Times New Roman" w:cs="Times New Roman" w:eastAsia="Times New Roman" w:hAnsi="Times New Roman"/>
          <w:sz w:val="18"/>
          <w:szCs w:val="18"/>
          <w:color w:val="auto"/>
        </w:rPr>
        <w:t>”), unless the Fundamental Change Repurchase Date falls after a Regular Record Date but on or prior to the Interest Payment Date to which such Regular Record Date relates, in which case the Company shall instead pay the full amount of accrued and unpaid interest to Holders of record as of such Regular Record Date, and the Fundamental Change Repurchase Price shall be equal to 100% of the principal amount of Notes to be repurchased pursuant to this Article 15. To the extent that the provisions of any securities laws or regulations conflict with the provisions of the Notes and this Indenture relating to the Company’s obligation to purchase Notes upon a Fundamental Change, the Company shall comply with the applicable securities laws and regulations and shall not be deemed to have breached its obligation under the provisions of this Indenture by virtue of such conflict.</w:t>
      </w:r>
    </w:p>
    <w:p>
      <w:pPr>
        <w:spacing w:after="0" w:line="192" w:lineRule="exact"/>
        <w:rPr>
          <w:sz w:val="20"/>
          <w:szCs w:val="20"/>
          <w:color w:val="auto"/>
        </w:rPr>
      </w:pPr>
    </w:p>
    <w:p>
      <w:pPr>
        <w:ind w:left="5420" w:right="2840" w:hanging="4984"/>
        <w:spacing w:after="0" w:line="454" w:lineRule="auto"/>
        <w:tabs>
          <w:tab w:leader="none" w:pos="697" w:val="left"/>
        </w:tabs>
        <w:numPr>
          <w:ilvl w:val="0"/>
          <w:numId w:val="8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Repurchases of Notes under this Section 15.02 shall be made, at the option of the Holder thereof, upon: 84</w:t>
      </w:r>
    </w:p>
    <w:p>
      <w:pPr>
        <w:sectPr>
          <w:pgSz w:w="11900" w:h="16838" w:orient="portrait"/>
          <w:cols w:equalWidth="0" w:num="1">
            <w:col w:w="10980"/>
          </w:cols>
          <w:pgMar w:left="440" w:top="270" w:right="479" w:bottom="1440" w:gutter="0" w:footer="0" w:header="0"/>
        </w:sectPr>
      </w:pPr>
    </w:p>
    <w:bookmarkStart w:id="95" w:name="page96"/>
    <w:bookmarkEnd w:id="95"/>
    <w:p>
      <w:pPr>
        <w:ind w:left="440" w:right="140" w:firstLine="419"/>
        <w:spacing w:after="0" w:line="262" w:lineRule="auto"/>
        <w:tabs>
          <w:tab w:leader="none" w:pos="1078" w:val="left"/>
        </w:tabs>
        <w:numPr>
          <w:ilvl w:val="0"/>
          <w:numId w:val="8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2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delivery to the Paying Agent by a Holder of a duly completed notice (the “</w:t>
      </w:r>
      <w:r>
        <w:rPr>
          <w:rFonts w:ascii="Times New Roman" w:cs="Times New Roman" w:eastAsia="Times New Roman" w:hAnsi="Times New Roman"/>
          <w:sz w:val="18"/>
          <w:szCs w:val="18"/>
          <w:b w:val="1"/>
          <w:bCs w:val="1"/>
          <w:color w:val="auto"/>
        </w:rPr>
        <w:t>Fundamental Change Repurchase Notice</w:t>
      </w:r>
      <w:r>
        <w:rPr>
          <w:rFonts w:ascii="Times New Roman" w:cs="Times New Roman" w:eastAsia="Times New Roman" w:hAnsi="Times New Roman"/>
          <w:sz w:val="18"/>
          <w:szCs w:val="18"/>
          <w:color w:val="auto"/>
        </w:rPr>
        <w:t>”) in the form set forth in Attachment 2 to the Form of Note attached hereto as Exhibit A, if the Notes are Physical Notes, or in compliance with the Depositary’s procedures for surrendering interests in Global Notes, if the Notes are Global Notes, in each case on or before the close of business on the Business Day immediately preceding the Fundamental Change Repurchase Date; and</w:t>
      </w:r>
    </w:p>
    <w:p>
      <w:pPr>
        <w:spacing w:after="0" w:line="72" w:lineRule="exact"/>
        <w:rPr>
          <w:rFonts w:ascii="Times New Roman" w:cs="Times New Roman" w:eastAsia="Times New Roman" w:hAnsi="Times New Roman"/>
          <w:sz w:val="18"/>
          <w:szCs w:val="18"/>
          <w:color w:val="auto"/>
        </w:rPr>
      </w:pPr>
    </w:p>
    <w:p>
      <w:pPr>
        <w:ind w:left="440" w:firstLine="419"/>
        <w:spacing w:after="0" w:line="261" w:lineRule="auto"/>
        <w:tabs>
          <w:tab w:leader="none" w:pos="1128" w:val="left"/>
        </w:tabs>
        <w:numPr>
          <w:ilvl w:val="0"/>
          <w:numId w:val="8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delivery of the Notes, if the Notes are Physical Notes, to the Paying Agent at any time after delivery of the Fundamental Change Repurchase Notice (together with all necessary endorsements for transfer) at the address of the Paying Agent set forth in the Fundamental Change Company Notice, or book-entry transfer of the Notes, if the Notes are Global Notes, in compliance with the procedures of the Depositary, in each case such delivery being a condition to receipt by the Holder of the Fundamental Change Repurchase Price therefor.</w:t>
      </w:r>
    </w:p>
    <w:p>
      <w:pPr>
        <w:spacing w:after="0" w:line="180"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The Fundamental Change Repurchase Notice in respect of any Notes to be repurchased shall state:</w:t>
      </w:r>
    </w:p>
    <w:p>
      <w:pPr>
        <w:spacing w:after="0" w:line="117" w:lineRule="exact"/>
        <w:rPr>
          <w:sz w:val="20"/>
          <w:szCs w:val="20"/>
          <w:color w:val="auto"/>
        </w:rPr>
      </w:pPr>
    </w:p>
    <w:p>
      <w:pPr>
        <w:ind w:left="1080" w:hanging="221"/>
        <w:spacing w:after="0"/>
        <w:tabs>
          <w:tab w:leader="none" w:pos="1080" w:val="left"/>
        </w:tabs>
        <w:numPr>
          <w:ilvl w:val="0"/>
          <w:numId w:val="8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case of Physical Notes, the certificate numbers of the Notes to be delivered for repurchase;</w:t>
      </w:r>
    </w:p>
    <w:p>
      <w:pPr>
        <w:spacing w:after="0" w:line="117"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0"/>
          <w:numId w:val="8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portion of the principal amount of Notes to be repurchased, which must be $1,000 or an integral multiple thereof; and</w:t>
      </w:r>
    </w:p>
    <w:p>
      <w:pPr>
        <w:spacing w:after="0" w:line="117" w:lineRule="exact"/>
        <w:rPr>
          <w:rFonts w:ascii="Times New Roman" w:cs="Times New Roman" w:eastAsia="Times New Roman" w:hAnsi="Times New Roman"/>
          <w:sz w:val="18"/>
          <w:szCs w:val="18"/>
          <w:color w:val="auto"/>
        </w:rPr>
      </w:pPr>
    </w:p>
    <w:p>
      <w:pPr>
        <w:ind w:left="1180" w:hanging="321"/>
        <w:spacing w:after="0"/>
        <w:tabs>
          <w:tab w:leader="none" w:pos="1180" w:val="left"/>
        </w:tabs>
        <w:numPr>
          <w:ilvl w:val="0"/>
          <w:numId w:val="8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the Notes are to be repurchased by the Company pursuant to the applicable provisions of the Notes and this Indenture;</w:t>
      </w:r>
    </w:p>
    <w:p>
      <w:pPr>
        <w:spacing w:after="0" w:line="223" w:lineRule="exact"/>
        <w:rPr>
          <w:sz w:val="20"/>
          <w:szCs w:val="20"/>
          <w:color w:val="auto"/>
        </w:rPr>
      </w:pPr>
    </w:p>
    <w:p>
      <w:pPr>
        <w:ind w:right="780"/>
        <w:spacing w:after="0" w:line="284" w:lineRule="auto"/>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if the Notes are Global Notes, the Fundamental Change Repurchase Notice must comply with appropriate Depositary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procedures.</w:t>
      </w:r>
    </w:p>
    <w:p>
      <w:pPr>
        <w:spacing w:after="0" w:line="160" w:lineRule="exact"/>
        <w:rPr>
          <w:sz w:val="20"/>
          <w:szCs w:val="20"/>
          <w:color w:val="auto"/>
        </w:rPr>
      </w:pPr>
    </w:p>
    <w:p>
      <w:pPr>
        <w:ind w:right="40" w:firstLine="440"/>
        <w:spacing w:after="0" w:line="261" w:lineRule="auto"/>
        <w:rPr>
          <w:sz w:val="20"/>
          <w:szCs w:val="20"/>
          <w:color w:val="auto"/>
        </w:rPr>
      </w:pPr>
      <w:r>
        <w:rPr>
          <w:rFonts w:ascii="Times New Roman" w:cs="Times New Roman" w:eastAsia="Times New Roman" w:hAnsi="Times New Roman"/>
          <w:sz w:val="18"/>
          <w:szCs w:val="18"/>
          <w:color w:val="auto"/>
        </w:rPr>
        <w:t>Notwithstanding anything herein to the contrary, any Holder delivering to the Paying Agent the Fundamental Change Repurchase Notice contemplated by this Section 15.02 shall have the right to withdraw, in whole or in part, such Fundamental Change Repurchase Notice at any time prior to the close of business on the Business Day immediately preceding the Fundamental Change Repurchase Date by delivery of a written notice of withdrawal to the Paying Agent in accordance with Section 15.03.</w:t>
      </w:r>
    </w:p>
    <w:p>
      <w:pPr>
        <w:spacing w:after="0" w:line="180" w:lineRule="exact"/>
        <w:rPr>
          <w:sz w:val="20"/>
          <w:szCs w:val="20"/>
          <w:color w:val="auto"/>
        </w:rPr>
      </w:pPr>
    </w:p>
    <w:p>
      <w:pPr>
        <w:ind w:right="360" w:firstLine="440"/>
        <w:spacing w:after="0" w:line="282" w:lineRule="auto"/>
        <w:rPr>
          <w:sz w:val="20"/>
          <w:szCs w:val="20"/>
          <w:color w:val="auto"/>
        </w:rPr>
      </w:pPr>
      <w:r>
        <w:rPr>
          <w:rFonts w:ascii="Times New Roman" w:cs="Times New Roman" w:eastAsia="Times New Roman" w:hAnsi="Times New Roman"/>
          <w:sz w:val="18"/>
          <w:szCs w:val="18"/>
          <w:color w:val="auto"/>
        </w:rPr>
        <w:t>The Paying Agent shall promptly notify the Company of the receipt by it of any Fundamental Change Repurchase Notice or written notice of withdrawal thereof.</w:t>
      </w:r>
    </w:p>
    <w:p>
      <w:pPr>
        <w:spacing w:after="0" w:line="162" w:lineRule="exact"/>
        <w:rPr>
          <w:sz w:val="20"/>
          <w:szCs w:val="20"/>
          <w:color w:val="auto"/>
        </w:rPr>
      </w:pPr>
    </w:p>
    <w:p>
      <w:pPr>
        <w:ind w:right="120" w:firstLine="436"/>
        <w:spacing w:after="0" w:line="258" w:lineRule="auto"/>
        <w:tabs>
          <w:tab w:leader="none" w:pos="685" w:val="left"/>
        </w:tabs>
        <w:numPr>
          <w:ilvl w:val="0"/>
          <w:numId w:val="8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On or before the 20th Business Day after the occurrence of the effective date of a Fundamental Change, the Company shall provide to all Holders of Notes, the Trustee, the Conversion Agent (in the case of a Conversion Agent other than the Trustee) and the Paying Agent (in the case of a Paying Agent other than the Trustee) a notice (the “</w:t>
      </w:r>
      <w:r>
        <w:rPr>
          <w:rFonts w:ascii="Times New Roman" w:cs="Times New Roman" w:eastAsia="Times New Roman" w:hAnsi="Times New Roman"/>
          <w:sz w:val="18"/>
          <w:szCs w:val="18"/>
          <w:b w:val="1"/>
          <w:bCs w:val="1"/>
          <w:color w:val="auto"/>
        </w:rPr>
        <w:t>Fundamental Change Company Notice</w:t>
      </w:r>
      <w:r>
        <w:rPr>
          <w:rFonts w:ascii="Times New Roman" w:cs="Times New Roman" w:eastAsia="Times New Roman" w:hAnsi="Times New Roman"/>
          <w:sz w:val="18"/>
          <w:szCs w:val="18"/>
          <w:color w:val="auto"/>
        </w:rPr>
        <w:t>”) of the occurrence of the effective date of the Fundamental Change and of the repurchase right at the option of the Holders arising as a result thereof. In the case of Physical Notes, such notice shall be by first class mail or, in the case of Global Notes, such</w:t>
      </w:r>
    </w:p>
    <w:p>
      <w:pPr>
        <w:spacing w:after="0" w:line="116" w:lineRule="exact"/>
        <w:rPr>
          <w:sz w:val="20"/>
          <w:szCs w:val="20"/>
          <w:color w:val="auto"/>
        </w:rPr>
      </w:pPr>
    </w:p>
    <w:p>
      <w:pPr>
        <w:jc w:val="center"/>
        <w:ind w:right="-59"/>
        <w:spacing w:after="0"/>
        <w:rPr>
          <w:sz w:val="20"/>
          <w:szCs w:val="20"/>
          <w:color w:val="auto"/>
        </w:rPr>
      </w:pPr>
      <w:r>
        <w:rPr>
          <w:rFonts w:ascii="Times New Roman" w:cs="Times New Roman" w:eastAsia="Times New Roman" w:hAnsi="Times New Roman"/>
          <w:sz w:val="18"/>
          <w:szCs w:val="18"/>
          <w:color w:val="auto"/>
        </w:rPr>
        <w:t>85</w:t>
      </w:r>
    </w:p>
    <w:p>
      <w:pPr>
        <w:sectPr>
          <w:pgSz w:w="11900" w:h="16838" w:orient="portrait"/>
          <w:cols w:equalWidth="0" w:num="1">
            <w:col w:w="10960"/>
          </w:cols>
          <w:pgMar w:left="440" w:top="266" w:right="499" w:bottom="1440" w:gutter="0" w:footer="0" w:header="0"/>
        </w:sectPr>
      </w:pPr>
    </w:p>
    <w:bookmarkStart w:id="96" w:name="page97"/>
    <w:bookmarkEnd w:id="96"/>
    <w:p>
      <w:pPr>
        <w:ind w:right="6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2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notice shall be delivered in accordance with the applicable procedures of the Depositary. Simultaneously with providing such notice, the Company shall publish a notice containing the information set forth in the Fundamental Change Company Notice in a newspaper of general circulation in The City of New York or publish such information on the Company’s website or through such other public medium as the Company may use at that time. Each Fundamental Change Company Notice shall specify:</w:t>
      </w:r>
    </w:p>
    <w:p>
      <w:pPr>
        <w:spacing w:after="0" w:line="72" w:lineRule="exact"/>
        <w:rPr>
          <w:sz w:val="20"/>
          <w:szCs w:val="20"/>
          <w:color w:val="auto"/>
        </w:rPr>
      </w:pPr>
    </w:p>
    <w:p>
      <w:pPr>
        <w:ind w:left="1080" w:hanging="221"/>
        <w:spacing w:after="0"/>
        <w:tabs>
          <w:tab w:leader="none" w:pos="1080" w:val="left"/>
        </w:tabs>
        <w:numPr>
          <w:ilvl w:val="0"/>
          <w:numId w:val="8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events causing the Fundamental Change;</w:t>
      </w:r>
    </w:p>
    <w:p>
      <w:pPr>
        <w:spacing w:after="0" w:line="117"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0"/>
          <w:numId w:val="8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effective date of the Fundamental Change;</w:t>
      </w:r>
    </w:p>
    <w:p>
      <w:pPr>
        <w:spacing w:after="0" w:line="117" w:lineRule="exact"/>
        <w:rPr>
          <w:rFonts w:ascii="Times New Roman" w:cs="Times New Roman" w:eastAsia="Times New Roman" w:hAnsi="Times New Roman"/>
          <w:sz w:val="18"/>
          <w:szCs w:val="18"/>
          <w:color w:val="auto"/>
        </w:rPr>
      </w:pPr>
    </w:p>
    <w:p>
      <w:pPr>
        <w:ind w:left="1180" w:hanging="321"/>
        <w:spacing w:after="0"/>
        <w:tabs>
          <w:tab w:leader="none" w:pos="1180" w:val="left"/>
        </w:tabs>
        <w:numPr>
          <w:ilvl w:val="0"/>
          <w:numId w:val="8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last date on which a Holder may exercise the repurchase right pursuant to this Article 15;</w:t>
      </w:r>
    </w:p>
    <w:p>
      <w:pPr>
        <w:spacing w:after="0" w:line="117" w:lineRule="exact"/>
        <w:rPr>
          <w:rFonts w:ascii="Times New Roman" w:cs="Times New Roman" w:eastAsia="Times New Roman" w:hAnsi="Times New Roman"/>
          <w:sz w:val="18"/>
          <w:szCs w:val="18"/>
          <w:color w:val="auto"/>
        </w:rPr>
      </w:pPr>
    </w:p>
    <w:p>
      <w:pPr>
        <w:ind w:left="1160" w:hanging="301"/>
        <w:spacing w:after="0"/>
        <w:tabs>
          <w:tab w:leader="none" w:pos="1160" w:val="left"/>
        </w:tabs>
        <w:numPr>
          <w:ilvl w:val="0"/>
          <w:numId w:val="8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Fundamental Change Repurchase Price;</w:t>
      </w:r>
    </w:p>
    <w:p>
      <w:pPr>
        <w:spacing w:after="0" w:line="117"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0"/>
          <w:numId w:val="8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Fundamental Change Repurchase Date;</w:t>
      </w:r>
    </w:p>
    <w:p>
      <w:pPr>
        <w:spacing w:after="0" w:line="117" w:lineRule="exact"/>
        <w:rPr>
          <w:rFonts w:ascii="Times New Roman" w:cs="Times New Roman" w:eastAsia="Times New Roman" w:hAnsi="Times New Roman"/>
          <w:sz w:val="18"/>
          <w:szCs w:val="18"/>
          <w:color w:val="auto"/>
        </w:rPr>
      </w:pPr>
    </w:p>
    <w:p>
      <w:pPr>
        <w:ind w:left="1160" w:hanging="301"/>
        <w:spacing w:after="0"/>
        <w:tabs>
          <w:tab w:leader="none" w:pos="1160" w:val="left"/>
        </w:tabs>
        <w:numPr>
          <w:ilvl w:val="0"/>
          <w:numId w:val="8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name and address of the Paying Agent and the Conversion Agent (if other than the Trustee), if applicable;</w:t>
      </w:r>
    </w:p>
    <w:p>
      <w:pPr>
        <w:spacing w:after="0" w:line="117" w:lineRule="exact"/>
        <w:rPr>
          <w:rFonts w:ascii="Times New Roman" w:cs="Times New Roman" w:eastAsia="Times New Roman" w:hAnsi="Times New Roman"/>
          <w:sz w:val="18"/>
          <w:szCs w:val="18"/>
          <w:color w:val="auto"/>
        </w:rPr>
      </w:pPr>
    </w:p>
    <w:p>
      <w:pPr>
        <w:ind w:left="1220" w:hanging="361"/>
        <w:spacing w:after="0"/>
        <w:tabs>
          <w:tab w:leader="none" w:pos="1220" w:val="left"/>
        </w:tabs>
        <w:numPr>
          <w:ilvl w:val="0"/>
          <w:numId w:val="8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applicable, the Conversion Rate and any adjustments to the Conversion Rate;</w:t>
      </w:r>
    </w:p>
    <w:p>
      <w:pPr>
        <w:spacing w:after="0" w:line="117" w:lineRule="exact"/>
        <w:rPr>
          <w:rFonts w:ascii="Times New Roman" w:cs="Times New Roman" w:eastAsia="Times New Roman" w:hAnsi="Times New Roman"/>
          <w:sz w:val="18"/>
          <w:szCs w:val="18"/>
          <w:color w:val="auto"/>
        </w:rPr>
      </w:pPr>
    </w:p>
    <w:p>
      <w:pPr>
        <w:ind w:left="440" w:right="60" w:firstLine="419"/>
        <w:spacing w:after="0" w:line="282" w:lineRule="auto"/>
        <w:tabs>
          <w:tab w:leader="none" w:pos="1268" w:val="left"/>
        </w:tabs>
        <w:numPr>
          <w:ilvl w:val="0"/>
          <w:numId w:val="8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the Notes with respect to which a Fundamental Change Repurchase Notice has been delivered by a Holder may be converted only if the Holder validly withdraws the Fundamental Change Repurchase Notice in accordance with the terms of this Indenture; and</w:t>
      </w:r>
    </w:p>
    <w:p>
      <w:pPr>
        <w:spacing w:after="0" w:line="53" w:lineRule="exact"/>
        <w:rPr>
          <w:rFonts w:ascii="Times New Roman" w:cs="Times New Roman" w:eastAsia="Times New Roman" w:hAnsi="Times New Roman"/>
          <w:sz w:val="18"/>
          <w:szCs w:val="18"/>
          <w:color w:val="auto"/>
        </w:rPr>
      </w:pPr>
    </w:p>
    <w:p>
      <w:pPr>
        <w:ind w:left="1160" w:hanging="301"/>
        <w:spacing w:after="0"/>
        <w:tabs>
          <w:tab w:leader="none" w:pos="1160" w:val="left"/>
        </w:tabs>
        <w:numPr>
          <w:ilvl w:val="0"/>
          <w:numId w:val="8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procedures that Holders must follow to require the Company to repurchase their Notes.</w:t>
      </w:r>
    </w:p>
    <w:p>
      <w:pPr>
        <w:spacing w:after="0" w:line="225" w:lineRule="exact"/>
        <w:rPr>
          <w:sz w:val="20"/>
          <w:szCs w:val="20"/>
          <w:color w:val="auto"/>
        </w:rPr>
      </w:pPr>
    </w:p>
    <w:p>
      <w:pPr>
        <w:ind w:firstLine="440"/>
        <w:spacing w:after="0" w:line="282" w:lineRule="auto"/>
        <w:rPr>
          <w:sz w:val="20"/>
          <w:szCs w:val="20"/>
          <w:color w:val="auto"/>
        </w:rPr>
      </w:pPr>
      <w:r>
        <w:rPr>
          <w:rFonts w:ascii="Times New Roman" w:cs="Times New Roman" w:eastAsia="Times New Roman" w:hAnsi="Times New Roman"/>
          <w:sz w:val="18"/>
          <w:szCs w:val="18"/>
          <w:color w:val="auto"/>
        </w:rPr>
        <w:t>No failure of the Company to give the foregoing notices and no defect therein shall limit the Holders’ repurchase rights or affect the validity of the proceedings for the repurchase of the Notes pursuant to this Section 15.02.</w:t>
      </w:r>
    </w:p>
    <w:p>
      <w:pPr>
        <w:spacing w:after="0" w:line="160" w:lineRule="exact"/>
        <w:rPr>
          <w:sz w:val="20"/>
          <w:szCs w:val="20"/>
          <w:color w:val="auto"/>
        </w:rPr>
      </w:pPr>
    </w:p>
    <w:p>
      <w:pPr>
        <w:ind w:right="200" w:firstLine="440"/>
        <w:spacing w:after="0" w:line="284" w:lineRule="auto"/>
        <w:rPr>
          <w:sz w:val="20"/>
          <w:szCs w:val="20"/>
          <w:color w:val="auto"/>
        </w:rPr>
      </w:pPr>
      <w:r>
        <w:rPr>
          <w:rFonts w:ascii="Times New Roman" w:cs="Times New Roman" w:eastAsia="Times New Roman" w:hAnsi="Times New Roman"/>
          <w:sz w:val="18"/>
          <w:szCs w:val="18"/>
          <w:color w:val="auto"/>
        </w:rPr>
        <w:t xml:space="preserve">At the Company’s request, the Trustee shall give such notice in the Company’s name and at the Company’s expense;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in all cases, the text of such Fundamental Change Company Notice shall be prepared by the Company.</w:t>
      </w:r>
    </w:p>
    <w:p>
      <w:pPr>
        <w:spacing w:after="0" w:line="160" w:lineRule="exact"/>
        <w:rPr>
          <w:sz w:val="20"/>
          <w:szCs w:val="20"/>
          <w:color w:val="auto"/>
        </w:rPr>
      </w:pPr>
    </w:p>
    <w:p>
      <w:pPr>
        <w:ind w:firstLine="436"/>
        <w:spacing w:after="0" w:line="254" w:lineRule="auto"/>
        <w:tabs>
          <w:tab w:leader="none" w:pos="695" w:val="left"/>
        </w:tabs>
        <w:numPr>
          <w:ilvl w:val="0"/>
          <w:numId w:val="9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Notwithstanding the foregoing, no Notes may be repurchased by the Company on any date at the option of the Holders upon a Fundamental Change if the principal amount of the Notes has been accelerated, and such acceleration has not been rescinded, on or prior to such date (except in the case of an acceleration resulting from a Default by the Company in the payment of the Fundamental Change Repurchase Price with respect to such Notes). The Paying Agent will promptly return to the respective Holders thereof any Physical Notes held by it during the acceleration of the Notes (except in the case of an acceleration resulting from a Default by the Company in the payment of the Fundamental Change Repurchase Price with respect to such Notes), or any instructions for book-entry transfer of the Notes in compliance with the procedures of the Depositary shall be deemed to have been cancelled, and, upon such return or cancellation, as the case may be, the Fundamental Change Repurchase Notice with respect thereto shall be deemed to have been withdrawn.</w:t>
      </w:r>
    </w:p>
    <w:p>
      <w:pPr>
        <w:spacing w:after="0" w:line="124"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86</w:t>
      </w:r>
    </w:p>
    <w:p>
      <w:pPr>
        <w:sectPr>
          <w:pgSz w:w="11900" w:h="16838" w:orient="portrait"/>
          <w:cols w:equalWidth="0" w:num="1">
            <w:col w:w="11000"/>
          </w:cols>
          <w:pgMar w:left="440" w:top="270" w:right="459" w:bottom="1440" w:gutter="0" w:footer="0" w:header="0"/>
        </w:sectPr>
      </w:pPr>
    </w:p>
    <w:bookmarkStart w:id="97" w:name="page98"/>
    <w:bookmarkEnd w:id="97"/>
    <w:p>
      <w:pPr>
        <w:ind w:firstLine="436"/>
        <w:spacing w:after="0" w:line="258" w:lineRule="auto"/>
        <w:tabs>
          <w:tab w:leader="none" w:pos="685" w:val="left"/>
        </w:tabs>
        <w:numPr>
          <w:ilvl w:val="0"/>
          <w:numId w:val="9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Notwithstanding anything to the contrary in this Indenture, the Company shall not be required to purchase, or make an offer to repurchase, the Notes upon a Fundamental Change otherwise required under this Section 15.02 if a third party makes an offer to purchase the Notes in the same manner, at the same time and otherwise in compliance with the requirements set forth in this Indenture applicable to such an offer by the Company as if the Company made it, and such third party purchases all Notes properly surrendered and not validly withdrawn under its offer in the same manner, at the same time and otherwise in compliance with the requirements set forth in this Indenture applicable to such an offer by the Company.</w:t>
      </w:r>
    </w:p>
    <w:p>
      <w:pPr>
        <w:spacing w:after="0" w:line="181" w:lineRule="exact"/>
        <w:rPr>
          <w:sz w:val="20"/>
          <w:szCs w:val="20"/>
          <w:color w:val="auto"/>
        </w:rPr>
      </w:pPr>
    </w:p>
    <w:p>
      <w:pPr>
        <w:ind w:right="120" w:firstLine="440"/>
        <w:spacing w:after="0" w:line="258" w:lineRule="auto"/>
        <w:rPr>
          <w:sz w:val="20"/>
          <w:szCs w:val="20"/>
          <w:color w:val="auto"/>
        </w:rPr>
      </w:pPr>
      <w:r>
        <w:rPr>
          <w:rFonts w:ascii="Times New Roman" w:cs="Times New Roman" w:eastAsia="Times New Roman" w:hAnsi="Times New Roman"/>
          <w:sz w:val="18"/>
          <w:szCs w:val="18"/>
          <w:color w:val="auto"/>
        </w:rPr>
        <w:t>Section 15.03</w:t>
      </w:r>
      <w:r>
        <w:rPr>
          <w:rFonts w:ascii="Times New Roman" w:cs="Times New Roman" w:eastAsia="Times New Roman" w:hAnsi="Times New Roman"/>
          <w:sz w:val="18"/>
          <w:szCs w:val="18"/>
          <w:i w:val="1"/>
          <w:iCs w:val="1"/>
          <w:color w:val="auto"/>
        </w:rPr>
        <w:t>. Withdrawal of Repurchase Notice or Fundamental Change Repurchase Notice.</w:t>
      </w:r>
      <w:r>
        <w:rPr>
          <w:rFonts w:ascii="Times New Roman" w:cs="Times New Roman" w:eastAsia="Times New Roman" w:hAnsi="Times New Roman"/>
          <w:sz w:val="18"/>
          <w:szCs w:val="18"/>
          <w:color w:val="auto"/>
        </w:rPr>
        <w:t xml:space="preserve"> (a) A Repurchase Notice or Fundamental Change Repurchase Notice may be withdrawn (in whole or in part) by means of a written notice of withdrawal delivered to the address of the Paying Agent set forth in Company Notice or the Fundamental Change Company Notice, as the case may be, in accordance with this Section 15.03 at any time prior to the close of business on the second Business Day immediately preceding the Repurchase Date or prior to the close of business on the Business Day immediately preceding the Fundamental Change Repurchase Date, as the case may be, specifying:</w:t>
      </w:r>
    </w:p>
    <w:p>
      <w:pPr>
        <w:spacing w:after="0" w:line="77" w:lineRule="exact"/>
        <w:rPr>
          <w:sz w:val="20"/>
          <w:szCs w:val="20"/>
          <w:color w:val="auto"/>
        </w:rPr>
      </w:pPr>
    </w:p>
    <w:p>
      <w:pPr>
        <w:ind w:left="1080" w:hanging="221"/>
        <w:spacing w:after="0"/>
        <w:tabs>
          <w:tab w:leader="none" w:pos="1080" w:val="left"/>
        </w:tabs>
        <w:numPr>
          <w:ilvl w:val="0"/>
          <w:numId w:val="9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principal amount of the Notes with respect to which such notice of withdrawal is being submitted,</w:t>
      </w:r>
    </w:p>
    <w:p>
      <w:pPr>
        <w:spacing w:after="0" w:line="117"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0"/>
          <w:numId w:val="9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Physical Notes have been issued, the certificate number of the Note in respect of which such notice of withdrawal is being submitted,</w:t>
      </w:r>
    </w:p>
    <w:p>
      <w:pPr>
        <w:spacing w:after="0" w:line="27"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and</w:t>
      </w:r>
    </w:p>
    <w:p>
      <w:pPr>
        <w:spacing w:after="0" w:line="99" w:lineRule="exact"/>
        <w:rPr>
          <w:sz w:val="20"/>
          <w:szCs w:val="20"/>
          <w:color w:val="auto"/>
        </w:rPr>
      </w:pPr>
    </w:p>
    <w:p>
      <w:pPr>
        <w:ind w:left="440" w:right="200" w:firstLine="419"/>
        <w:spacing w:after="0" w:line="282" w:lineRule="auto"/>
        <w:tabs>
          <w:tab w:leader="none" w:pos="1178" w:val="left"/>
        </w:tabs>
        <w:numPr>
          <w:ilvl w:val="0"/>
          <w:numId w:val="9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principal amount, if any, of such Note that remains subject to the original Repurchase Notice or Fundamental Change Repurchase Notice, as the case may be, which portion must be in principal amounts of $1,000 or an integral multiple of $1,000;</w:t>
      </w:r>
    </w:p>
    <w:p>
      <w:pPr>
        <w:spacing w:after="0" w:line="16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if the Notes are Global Notes, the notice must comply with appropriate procedures of the Depositary.</w:t>
      </w:r>
    </w:p>
    <w:p>
      <w:pPr>
        <w:spacing w:after="0" w:line="225" w:lineRule="exact"/>
        <w:rPr>
          <w:sz w:val="20"/>
          <w:szCs w:val="20"/>
          <w:color w:val="auto"/>
        </w:rPr>
      </w:pPr>
    </w:p>
    <w:p>
      <w:pPr>
        <w:ind w:right="20" w:firstLine="440"/>
        <w:spacing w:after="0" w:line="257" w:lineRule="auto"/>
        <w:rPr>
          <w:sz w:val="20"/>
          <w:szCs w:val="20"/>
          <w:color w:val="auto"/>
        </w:rPr>
      </w:pPr>
      <w:r>
        <w:rPr>
          <w:rFonts w:ascii="Times New Roman" w:cs="Times New Roman" w:eastAsia="Times New Roman" w:hAnsi="Times New Roman"/>
          <w:sz w:val="18"/>
          <w:szCs w:val="18"/>
          <w:color w:val="auto"/>
        </w:rPr>
        <w:t>Section 15.04</w:t>
      </w:r>
      <w:r>
        <w:rPr>
          <w:rFonts w:ascii="Times New Roman" w:cs="Times New Roman" w:eastAsia="Times New Roman" w:hAnsi="Times New Roman"/>
          <w:sz w:val="18"/>
          <w:szCs w:val="18"/>
          <w:i w:val="1"/>
          <w:iCs w:val="1"/>
          <w:color w:val="auto"/>
        </w:rPr>
        <w:t>. Deposit of Repurchase Price or Fundamental Change Repurchase Price.</w:t>
      </w:r>
      <w:r>
        <w:rPr>
          <w:rFonts w:ascii="Times New Roman" w:cs="Times New Roman" w:eastAsia="Times New Roman" w:hAnsi="Times New Roman"/>
          <w:sz w:val="18"/>
          <w:szCs w:val="18"/>
          <w:color w:val="auto"/>
        </w:rPr>
        <w:t xml:space="preserve"> (a) The Company will deposit with the Paying Agent, or if the Company is acting as its own Paying Agent, set aside, segregate and hold in trust as provided in Section 4.04) on or prior to 11:00 a.m., New York City time, on the Repurchase Date or Fundamental Change Repurchase Date, as the case may be, an amount of money sufficient to repurchase all of the Notes to be repurchased at the appropriate Repurchase Price or Fundamental Change Repurchase Price; provided, further, that to the extent such deposit is received by the Paying Agent after 11:00 a.m. New York City time, on any such due date, such deposit will be deemed deposited on the next Business Day. Subject to receipt of funds and/or Notes by the Paying Agent, payment for Notes</w:t>
      </w:r>
    </w:p>
    <w:p>
      <w:pPr>
        <w:spacing w:after="0" w:line="11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87</w:t>
      </w:r>
    </w:p>
    <w:p>
      <w:pPr>
        <w:sectPr>
          <w:pgSz w:w="11900" w:h="16838" w:orient="portrait"/>
          <w:cols w:equalWidth="0" w:num="1">
            <w:col w:w="10980"/>
          </w:cols>
          <w:pgMar w:left="440" w:top="270" w:right="479" w:bottom="1440" w:gutter="0" w:footer="0" w:header="0"/>
        </w:sectPr>
      </w:pPr>
    </w:p>
    <w:bookmarkStart w:id="98" w:name="page99"/>
    <w:bookmarkEnd w:id="98"/>
    <w:p>
      <w:pPr>
        <w:spacing w:after="0" w:line="254"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surrendered for repurchase (and not withdrawn prior to the close of business on the second Business Day immediately preceding the Repurchase Date or prior to the close of business on the Business Day immediately preceding the Fundamental Change Repurchase Date) will be made on the later of (i) the Repurchase Date or Fundamental Change Repurchase Date, as the case may be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the Holder has satisfied the conditions in Section 15.01 or Section 15.02, as the case may be) and (ii) the time of book-entry transfer or the delivery of such Note to the Paying Agent by the Holder thereof in the manner required by Section 15.01 or Section 15.02, as applicable, by mailing checks for the amount payable to the Holders of such Notes entitled thereto as they shall appear in the Note Register;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payments to the Depositary shall be made by wire transfer of immediately available funds to the account of the Depositary or its nominee. The Paying Agent shall, promptly after such payment and upon written demand by the Company, return to the Company any funds in excess of the Repurchase Price or Fundamental Change Repurchase Price, as the case may be.</w:t>
      </w:r>
    </w:p>
    <w:p>
      <w:pPr>
        <w:spacing w:after="0" w:line="192" w:lineRule="exact"/>
        <w:rPr>
          <w:sz w:val="20"/>
          <w:szCs w:val="20"/>
          <w:color w:val="auto"/>
        </w:rPr>
      </w:pPr>
    </w:p>
    <w:p>
      <w:pPr>
        <w:ind w:firstLine="436"/>
        <w:spacing w:after="0" w:line="256" w:lineRule="auto"/>
        <w:tabs>
          <w:tab w:leader="none" w:pos="695" w:val="left"/>
        </w:tabs>
        <w:numPr>
          <w:ilvl w:val="0"/>
          <w:numId w:val="9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by 11:00 a.m. New York City time, on the Repurchase Date or Fundamental Change Repurchase Date, as the case may be, the Paying Agent holds money sufficient to make payment on all the Notes or portions thereof that are to be repurchased on such Repurchase Date or Fundamental Change Repurchase Date, as the case may be, then, with respect to the Notes that have been properly surrendered for repurchase and have not been validly withdrawn, (i) such Notes will cease to be outstanding, (ii) interest will cease to accrue on such Notes (whether or not book-entry transfer of the Notes has been made or the Notes have been delivered to the Trustee) and (iii) all other rights of the Holders of such Notes will terminate (other than the right to receive the Repurchase Price or Fundamental Change Repurchase Price, as the case may be).</w:t>
      </w:r>
    </w:p>
    <w:p>
      <w:pPr>
        <w:spacing w:after="0" w:line="187" w:lineRule="exact"/>
        <w:rPr>
          <w:rFonts w:ascii="Times New Roman" w:cs="Times New Roman" w:eastAsia="Times New Roman" w:hAnsi="Times New Roman"/>
          <w:sz w:val="18"/>
          <w:szCs w:val="18"/>
          <w:color w:val="auto"/>
        </w:rPr>
      </w:pPr>
    </w:p>
    <w:p>
      <w:pPr>
        <w:ind w:right="20" w:firstLine="436"/>
        <w:spacing w:after="0" w:line="266" w:lineRule="auto"/>
        <w:tabs>
          <w:tab w:leader="none" w:pos="685" w:val="left"/>
        </w:tabs>
        <w:numPr>
          <w:ilvl w:val="0"/>
          <w:numId w:val="9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Upon surrender of a Note that is to be repurchased in part pursuant to Section 15.01 or Section 15.02, the Company shall execute and the Trustee shall authenticate and deliver to the Holder a new Note in an authorized denomination equal in principal amount to the unrepurchased portion of the Note surrendered.</w:t>
      </w:r>
    </w:p>
    <w:p>
      <w:pPr>
        <w:spacing w:after="0" w:line="174" w:lineRule="exact"/>
        <w:rPr>
          <w:sz w:val="20"/>
          <w:szCs w:val="20"/>
          <w:color w:val="auto"/>
        </w:rPr>
      </w:pPr>
    </w:p>
    <w:p>
      <w:pPr>
        <w:ind w:right="40" w:firstLine="440"/>
        <w:spacing w:after="0" w:line="284" w:lineRule="auto"/>
        <w:rPr>
          <w:sz w:val="20"/>
          <w:szCs w:val="20"/>
          <w:color w:val="auto"/>
        </w:rPr>
      </w:pPr>
      <w:r>
        <w:rPr>
          <w:rFonts w:ascii="Times New Roman" w:cs="Times New Roman" w:eastAsia="Times New Roman" w:hAnsi="Times New Roman"/>
          <w:sz w:val="18"/>
          <w:szCs w:val="18"/>
          <w:color w:val="auto"/>
        </w:rPr>
        <w:t xml:space="preserve">Section 15.05. </w:t>
      </w:r>
      <w:r>
        <w:rPr>
          <w:rFonts w:ascii="Times New Roman" w:cs="Times New Roman" w:eastAsia="Times New Roman" w:hAnsi="Times New Roman"/>
          <w:sz w:val="18"/>
          <w:szCs w:val="18"/>
          <w:i w:val="1"/>
          <w:iCs w:val="1"/>
          <w:color w:val="auto"/>
        </w:rPr>
        <w:t>Covenant to Comply with Applicable Laws Upon Repurchase of Notes</w:t>
      </w:r>
      <w:r>
        <w:rPr>
          <w:rFonts w:ascii="Times New Roman" w:cs="Times New Roman" w:eastAsia="Times New Roman" w:hAnsi="Times New Roman"/>
          <w:sz w:val="18"/>
          <w:szCs w:val="18"/>
          <w:color w:val="auto"/>
        </w:rPr>
        <w:t>. In connection with any repurchase offer, the Company will, if required:</w:t>
      </w:r>
    </w:p>
    <w:p>
      <w:pPr>
        <w:spacing w:after="0" w:line="160" w:lineRule="exact"/>
        <w:rPr>
          <w:sz w:val="20"/>
          <w:szCs w:val="20"/>
          <w:color w:val="auto"/>
        </w:rPr>
      </w:pPr>
    </w:p>
    <w:p>
      <w:pPr>
        <w:ind w:left="680" w:hanging="244"/>
        <w:spacing w:after="0"/>
        <w:tabs>
          <w:tab w:leader="none" w:pos="680" w:val="left"/>
        </w:tabs>
        <w:numPr>
          <w:ilvl w:val="0"/>
          <w:numId w:val="9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comply with the provisions of Rule 13e-4, Rule 14e-1 and any other tender offer rules under the Exchange Act;</w:t>
      </w:r>
    </w:p>
    <w:p>
      <w:pPr>
        <w:spacing w:after="0" w:line="225"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9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file a Schedule TO or any other required schedule under the Exchange Act; and</w:t>
      </w:r>
    </w:p>
    <w:p>
      <w:pPr>
        <w:spacing w:after="0" w:line="225" w:lineRule="exact"/>
        <w:rPr>
          <w:rFonts w:ascii="Times New Roman" w:cs="Times New Roman" w:eastAsia="Times New Roman" w:hAnsi="Times New Roman"/>
          <w:sz w:val="18"/>
          <w:szCs w:val="18"/>
          <w:color w:val="auto"/>
        </w:rPr>
      </w:pPr>
    </w:p>
    <w:p>
      <w:pPr>
        <w:ind w:left="680" w:hanging="244"/>
        <w:spacing w:after="0"/>
        <w:tabs>
          <w:tab w:leader="none" w:pos="680" w:val="left"/>
        </w:tabs>
        <w:numPr>
          <w:ilvl w:val="0"/>
          <w:numId w:val="9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otherwise comply with all federal and state securities laws in connection with any offer by the Company to repurchase the Notes;</w:t>
      </w:r>
    </w:p>
    <w:p>
      <w:pPr>
        <w:spacing w:after="0" w:line="225" w:lineRule="exact"/>
        <w:rPr>
          <w:sz w:val="20"/>
          <w:szCs w:val="20"/>
          <w:color w:val="auto"/>
        </w:rPr>
      </w:pPr>
    </w:p>
    <w:p>
      <w:pPr>
        <w:jc w:val="center"/>
        <w:ind w:right="300"/>
        <w:spacing w:after="0" w:line="454" w:lineRule="auto"/>
        <w:rPr>
          <w:sz w:val="20"/>
          <w:szCs w:val="20"/>
          <w:color w:val="auto"/>
        </w:rPr>
      </w:pPr>
      <w:r>
        <w:rPr>
          <w:rFonts w:ascii="Times New Roman" w:cs="Times New Roman" w:eastAsia="Times New Roman" w:hAnsi="Times New Roman"/>
          <w:sz w:val="18"/>
          <w:szCs w:val="18"/>
          <w:color w:val="auto"/>
        </w:rPr>
        <w:t>in each case, so as to permit the rights and obligations under this Article 15 to be exercised in the time and in the manner specified in this Article 15. 88</w:t>
      </w:r>
    </w:p>
    <w:p>
      <w:pPr>
        <w:sectPr>
          <w:pgSz w:w="11900" w:h="16838" w:orient="portrait"/>
          <w:cols w:equalWidth="0" w:num="1">
            <w:col w:w="10980"/>
          </w:cols>
          <w:pgMar w:left="440" w:top="270" w:right="479" w:bottom="1440" w:gutter="0" w:footer="0" w:header="0"/>
        </w:sectPr>
      </w:pPr>
    </w:p>
    <w:bookmarkStart w:id="99" w:name="page100"/>
    <w:bookmarkEnd w:id="99"/>
    <w:p>
      <w:pPr>
        <w:jc w:val="center"/>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ARTICLE 16</w:t>
      </w:r>
    </w:p>
    <w:p>
      <w:pPr>
        <w:spacing w:after="0" w:line="2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O</w:t>
      </w:r>
      <w:r>
        <w:rPr>
          <w:rFonts w:ascii="Times New Roman" w:cs="Times New Roman" w:eastAsia="Times New Roman" w:hAnsi="Times New Roman"/>
          <w:sz w:val="14"/>
          <w:szCs w:val="14"/>
          <w:color w:val="auto"/>
        </w:rPr>
        <w:t>PTIONAL</w:t>
      </w:r>
      <w:r>
        <w:rPr>
          <w:rFonts w:ascii="Times New Roman" w:cs="Times New Roman" w:eastAsia="Times New Roman" w:hAnsi="Times New Roman"/>
          <w:sz w:val="18"/>
          <w:szCs w:val="18"/>
          <w:color w:val="auto"/>
        </w:rPr>
        <w:t xml:space="preserve"> R</w:t>
      </w:r>
      <w:r>
        <w:rPr>
          <w:rFonts w:ascii="Times New Roman" w:cs="Times New Roman" w:eastAsia="Times New Roman" w:hAnsi="Times New Roman"/>
          <w:sz w:val="14"/>
          <w:szCs w:val="14"/>
          <w:color w:val="auto"/>
        </w:rPr>
        <w:t>EDEMPTION</w:t>
      </w:r>
    </w:p>
    <w:p>
      <w:pPr>
        <w:spacing w:after="0" w:line="205" w:lineRule="exact"/>
        <w:rPr>
          <w:sz w:val="20"/>
          <w:szCs w:val="20"/>
          <w:color w:val="auto"/>
        </w:rPr>
      </w:pPr>
    </w:p>
    <w:p>
      <w:pPr>
        <w:ind w:right="80" w:firstLine="440"/>
        <w:spacing w:after="0" w:line="257" w:lineRule="auto"/>
        <w:rPr>
          <w:sz w:val="20"/>
          <w:szCs w:val="20"/>
          <w:color w:val="auto"/>
        </w:rPr>
      </w:pPr>
      <w:r>
        <w:rPr>
          <w:rFonts w:ascii="Times New Roman" w:cs="Times New Roman" w:eastAsia="Times New Roman" w:hAnsi="Times New Roman"/>
          <w:sz w:val="18"/>
          <w:szCs w:val="18"/>
          <w:color w:val="auto"/>
        </w:rPr>
        <w:t xml:space="preserve">Section 16.01. </w:t>
      </w:r>
      <w:r>
        <w:rPr>
          <w:rFonts w:ascii="Times New Roman" w:cs="Times New Roman" w:eastAsia="Times New Roman" w:hAnsi="Times New Roman"/>
          <w:sz w:val="18"/>
          <w:szCs w:val="18"/>
          <w:i w:val="1"/>
          <w:iCs w:val="1"/>
          <w:color w:val="auto"/>
        </w:rPr>
        <w:t>Optional Redemption</w:t>
      </w:r>
      <w:r>
        <w:rPr>
          <w:rFonts w:ascii="Times New Roman" w:cs="Times New Roman" w:eastAsia="Times New Roman" w:hAnsi="Times New Roman"/>
          <w:sz w:val="18"/>
          <w:szCs w:val="18"/>
          <w:color w:val="auto"/>
        </w:rPr>
        <w:t>. No sinking fund is provided for the Notes. The Notes shall not be redeemable by the Company prior to June 20, 2029. On or after June 20, 2029, the Company may redeem (an “</w:t>
      </w:r>
      <w:r>
        <w:rPr>
          <w:rFonts w:ascii="Times New Roman" w:cs="Times New Roman" w:eastAsia="Times New Roman" w:hAnsi="Times New Roman"/>
          <w:sz w:val="18"/>
          <w:szCs w:val="18"/>
          <w:b w:val="1"/>
          <w:bCs w:val="1"/>
          <w:color w:val="auto"/>
        </w:rPr>
        <w:t>Optional Redemption</w:t>
      </w:r>
      <w:r>
        <w:rPr>
          <w:rFonts w:ascii="Times New Roman" w:cs="Times New Roman" w:eastAsia="Times New Roman" w:hAnsi="Times New Roman"/>
          <w:sz w:val="18"/>
          <w:szCs w:val="18"/>
          <w:color w:val="auto"/>
        </w:rPr>
        <w:t>”) for cash all or any portion of the Notes (subject to the Partial Redemption Limitation), at the Redemption Price, if the Last Reported Sale Price of the Common Stock has been at least 130% of the Conversion Price then in effect for at least 20 Trading Days (whether or not consecutive), including the Trading Day immediately preceding the date on which the Company provides a Redemption Notice, during any 30 consecutive Trading Day period ending on, and including, the Trading Day immediately preceding the date on which the Company provides the Redemption Notice in accordance with Section 16.02.</w:t>
      </w:r>
    </w:p>
    <w:p>
      <w:pPr>
        <w:spacing w:after="0" w:line="182" w:lineRule="exact"/>
        <w:rPr>
          <w:sz w:val="20"/>
          <w:szCs w:val="20"/>
          <w:color w:val="auto"/>
        </w:rPr>
      </w:pPr>
    </w:p>
    <w:p>
      <w:pPr>
        <w:ind w:firstLine="440"/>
        <w:spacing w:after="0" w:line="253" w:lineRule="auto"/>
        <w:rPr>
          <w:sz w:val="20"/>
          <w:szCs w:val="20"/>
          <w:color w:val="auto"/>
        </w:rPr>
      </w:pPr>
      <w:r>
        <w:rPr>
          <w:rFonts w:ascii="Times New Roman" w:cs="Times New Roman" w:eastAsia="Times New Roman" w:hAnsi="Times New Roman"/>
          <w:sz w:val="18"/>
          <w:szCs w:val="18"/>
          <w:color w:val="auto"/>
        </w:rPr>
        <w:t xml:space="preserve">Section 16.02. </w:t>
      </w:r>
      <w:r>
        <w:rPr>
          <w:rFonts w:ascii="Times New Roman" w:cs="Times New Roman" w:eastAsia="Times New Roman" w:hAnsi="Times New Roman"/>
          <w:sz w:val="18"/>
          <w:szCs w:val="18"/>
          <w:i w:val="1"/>
          <w:iCs w:val="1"/>
          <w:color w:val="auto"/>
        </w:rPr>
        <w:t>Notice of Optional Redemption; Selection of Notes</w:t>
      </w:r>
      <w:r>
        <w:rPr>
          <w:rFonts w:ascii="Times New Roman" w:cs="Times New Roman" w:eastAsia="Times New Roman" w:hAnsi="Times New Roman"/>
          <w:sz w:val="18"/>
          <w:szCs w:val="18"/>
          <w:color w:val="auto"/>
        </w:rPr>
        <w:t>. (a) In case the Company exercises its Optional Redemption right to redeem all or, as the case may be, any part of the Notes pursuant to Section 16.01, it shall fix a date for redemption (each, a “</w:t>
      </w:r>
      <w:r>
        <w:rPr>
          <w:rFonts w:ascii="Times New Roman" w:cs="Times New Roman" w:eastAsia="Times New Roman" w:hAnsi="Times New Roman"/>
          <w:sz w:val="18"/>
          <w:szCs w:val="18"/>
          <w:b w:val="1"/>
          <w:bCs w:val="1"/>
          <w:color w:val="auto"/>
        </w:rPr>
        <w:t>Redemption Date</w:t>
      </w:r>
      <w:r>
        <w:rPr>
          <w:rFonts w:ascii="Times New Roman" w:cs="Times New Roman" w:eastAsia="Times New Roman" w:hAnsi="Times New Roman"/>
          <w:sz w:val="18"/>
          <w:szCs w:val="18"/>
          <w:color w:val="auto"/>
        </w:rPr>
        <w:t>”) and it or, at its written request received by the Trustee not less than 55 Scheduled Trading Days prior to the Redemption Date (or such shorter period of time as may be acceptable to the Trustee), the Trustee, in the name of and at the expense of the Company, shall deliver or cause to be delivered a notice of such Optional Redemption (a “</w:t>
      </w:r>
      <w:r>
        <w:rPr>
          <w:rFonts w:ascii="Times New Roman" w:cs="Times New Roman" w:eastAsia="Times New Roman" w:hAnsi="Times New Roman"/>
          <w:sz w:val="18"/>
          <w:szCs w:val="18"/>
          <w:b w:val="1"/>
          <w:bCs w:val="1"/>
          <w:color w:val="auto"/>
        </w:rPr>
        <w:t>Redemption Notice</w:t>
      </w:r>
      <w:r>
        <w:rPr>
          <w:rFonts w:ascii="Times New Roman" w:cs="Times New Roman" w:eastAsia="Times New Roman" w:hAnsi="Times New Roman"/>
          <w:sz w:val="18"/>
          <w:szCs w:val="18"/>
          <w:color w:val="auto"/>
        </w:rPr>
        <w:t xml:space="preserve">”) not less than 30 nor more than 40 Scheduled Trading Days prior to the Redemption Date to each Holder of Notes so to be redeemed as a whole or in part;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if the Company shall give such notice, it shall also give written notice of the Redemption Date to the Trustee and the Paying Agent (if other than the Trustee). However, if in accordance with Section 14.02(a)(iii) the Company elects to settle all conversions with a Conversion Date that occurs on or after the date of the Redemption Notice and before the related Redemption Date by Physical Settlement, or if Physical Settlement otherwise applies as a result of the Company’s irrevocable election of a Settlement Method pursuant to Section 14.02(a)(iii)(B), then the Company may instead provide such Redemption Notice not less than 30 nor more than 45 calendar days prior to the Redemption Date. The Redemption Date must be a Business Day.</w:t>
      </w:r>
    </w:p>
    <w:p>
      <w:pPr>
        <w:spacing w:after="0" w:line="194" w:lineRule="exact"/>
        <w:rPr>
          <w:sz w:val="20"/>
          <w:szCs w:val="20"/>
          <w:color w:val="auto"/>
        </w:rPr>
      </w:pPr>
    </w:p>
    <w:p>
      <w:pPr>
        <w:jc w:val="both"/>
        <w:ind w:right="200" w:firstLine="436"/>
        <w:spacing w:after="0" w:line="289" w:lineRule="auto"/>
        <w:tabs>
          <w:tab w:leader="none" w:pos="695" w:val="left"/>
        </w:tabs>
        <w:numPr>
          <w:ilvl w:val="0"/>
          <w:numId w:val="96"/>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The Redemption Notice, if delivered in the manner herein provided, shall be conclusively presumed to have been duly given, whether or not the Holder receives such notice. In any case, failure to give such Redemption Notice by mail or any defect in the Redemption Notice to the Holder of any Note designated for redemption as a whole or in part shall not affect the validity of the proceedings for the redemption of any other Note.</w:t>
      </w:r>
    </w:p>
    <w:p>
      <w:pPr>
        <w:spacing w:after="0" w:line="157" w:lineRule="exact"/>
        <w:rPr>
          <w:rFonts w:ascii="Times New Roman" w:cs="Times New Roman" w:eastAsia="Times New Roman" w:hAnsi="Times New Roman"/>
          <w:sz w:val="17"/>
          <w:szCs w:val="17"/>
          <w:color w:val="auto"/>
        </w:rPr>
      </w:pPr>
    </w:p>
    <w:p>
      <w:pPr>
        <w:ind w:left="680" w:hanging="244"/>
        <w:spacing w:after="0"/>
        <w:tabs>
          <w:tab w:leader="none" w:pos="680" w:val="left"/>
        </w:tabs>
        <w:numPr>
          <w:ilvl w:val="0"/>
          <w:numId w:val="9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Each Redemption Notice shall specify:</w:t>
      </w:r>
    </w:p>
    <w:p>
      <w:pPr>
        <w:spacing w:after="0" w:line="117" w:lineRule="exact"/>
        <w:rPr>
          <w:rFonts w:ascii="Times New Roman" w:cs="Times New Roman" w:eastAsia="Times New Roman" w:hAnsi="Times New Roman"/>
          <w:sz w:val="18"/>
          <w:szCs w:val="18"/>
          <w:color w:val="auto"/>
        </w:rPr>
      </w:pPr>
    </w:p>
    <w:p>
      <w:pPr>
        <w:ind w:left="1080" w:hanging="221"/>
        <w:spacing w:after="0"/>
        <w:tabs>
          <w:tab w:leader="none" w:pos="1080" w:val="left"/>
        </w:tabs>
        <w:numPr>
          <w:ilvl w:val="1"/>
          <w:numId w:val="9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Redemption Date;</w:t>
      </w:r>
    </w:p>
    <w:p>
      <w:pPr>
        <w:spacing w:after="0" w:line="117"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1"/>
          <w:numId w:val="9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Redemption Price;</w:t>
      </w:r>
    </w:p>
    <w:p>
      <w:pPr>
        <w:spacing w:after="0" w:line="117" w:lineRule="exact"/>
        <w:rPr>
          <w:rFonts w:ascii="Times New Roman" w:cs="Times New Roman" w:eastAsia="Times New Roman" w:hAnsi="Times New Roman"/>
          <w:sz w:val="18"/>
          <w:szCs w:val="18"/>
          <w:color w:val="auto"/>
        </w:rPr>
      </w:pPr>
    </w:p>
    <w:p>
      <w:pPr>
        <w:ind w:left="440" w:right="400" w:firstLine="419"/>
        <w:spacing w:after="0" w:line="282" w:lineRule="auto"/>
        <w:tabs>
          <w:tab w:leader="none" w:pos="1178" w:val="left"/>
        </w:tabs>
        <w:numPr>
          <w:ilvl w:val="1"/>
          <w:numId w:val="9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on the Redemption Date, the Redemption Price will become due and payable upon each Note to be redeemed, and that interest thereon, if any, shall cease to accrue on and after the Redemption Date;</w:t>
      </w:r>
    </w:p>
    <w:p>
      <w:pPr>
        <w:spacing w:after="0" w:line="9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89</w:t>
      </w:r>
    </w:p>
    <w:p>
      <w:pPr>
        <w:sectPr>
          <w:pgSz w:w="11900" w:h="16838" w:orient="portrait"/>
          <w:cols w:equalWidth="0" w:num="1">
            <w:col w:w="11000"/>
          </w:cols>
          <w:pgMar w:left="440" w:top="270" w:right="459" w:bottom="1440" w:gutter="0" w:footer="0" w:header="0"/>
        </w:sectPr>
      </w:pPr>
    </w:p>
    <w:bookmarkStart w:id="100" w:name="page101"/>
    <w:bookmarkEnd w:id="100"/>
    <w:p>
      <w:pPr>
        <w:ind w:left="1160" w:hanging="301"/>
        <w:spacing w:after="0"/>
        <w:tabs>
          <w:tab w:leader="none" w:pos="1160" w:val="left"/>
        </w:tabs>
        <w:numPr>
          <w:ilvl w:val="0"/>
          <w:numId w:val="9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5">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the place or places where such Notes are to be surrendered for payment of the Redemption Price;</w:t>
      </w:r>
    </w:p>
    <w:p>
      <w:pPr>
        <w:spacing w:after="0" w:line="117" w:lineRule="exact"/>
        <w:rPr>
          <w:rFonts w:ascii="Times New Roman" w:cs="Times New Roman" w:eastAsia="Times New Roman" w:hAnsi="Times New Roman"/>
          <w:sz w:val="18"/>
          <w:szCs w:val="18"/>
          <w:color w:val="auto"/>
        </w:rPr>
      </w:pPr>
    </w:p>
    <w:p>
      <w:pPr>
        <w:ind w:left="440" w:right="760" w:firstLine="419"/>
        <w:spacing w:after="0" w:line="282" w:lineRule="auto"/>
        <w:tabs>
          <w:tab w:leader="none" w:pos="1118" w:val="left"/>
        </w:tabs>
        <w:numPr>
          <w:ilvl w:val="0"/>
          <w:numId w:val="9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Holders may surrender their Notes for conversion at any time prior to the close of business on the Scheduled Trading Day immediately preceding the Redemption Date;</w:t>
      </w:r>
    </w:p>
    <w:p>
      <w:pPr>
        <w:spacing w:after="0" w:line="53" w:lineRule="exact"/>
        <w:rPr>
          <w:rFonts w:ascii="Times New Roman" w:cs="Times New Roman" w:eastAsia="Times New Roman" w:hAnsi="Times New Roman"/>
          <w:sz w:val="18"/>
          <w:szCs w:val="18"/>
          <w:color w:val="auto"/>
        </w:rPr>
      </w:pPr>
    </w:p>
    <w:p>
      <w:pPr>
        <w:ind w:left="440" w:right="540" w:firstLine="419"/>
        <w:spacing w:after="0" w:line="282" w:lineRule="auto"/>
        <w:tabs>
          <w:tab w:leader="none" w:pos="1168" w:val="left"/>
        </w:tabs>
        <w:numPr>
          <w:ilvl w:val="0"/>
          <w:numId w:val="9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procedures a converting Holder must follow to convert its Notes and the Settlement Method and Specified Dollar Amount, if applicable;</w:t>
      </w:r>
    </w:p>
    <w:p>
      <w:pPr>
        <w:spacing w:after="0" w:line="53" w:lineRule="exact"/>
        <w:rPr>
          <w:rFonts w:ascii="Times New Roman" w:cs="Times New Roman" w:eastAsia="Times New Roman" w:hAnsi="Times New Roman"/>
          <w:sz w:val="18"/>
          <w:szCs w:val="18"/>
          <w:color w:val="auto"/>
        </w:rPr>
      </w:pPr>
    </w:p>
    <w:p>
      <w:pPr>
        <w:ind w:left="440" w:right="980" w:firstLine="419"/>
        <w:spacing w:after="0" w:line="282" w:lineRule="auto"/>
        <w:tabs>
          <w:tab w:leader="none" w:pos="1218" w:val="left"/>
        </w:tabs>
        <w:numPr>
          <w:ilvl w:val="0"/>
          <w:numId w:val="9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Conversion Rate and, if applicable, the number of Additional Shares added to the Conversion Rate in accordance with Section 14.03;</w:t>
      </w:r>
    </w:p>
    <w:p>
      <w:pPr>
        <w:spacing w:after="0" w:line="53" w:lineRule="exact"/>
        <w:rPr>
          <w:rFonts w:ascii="Times New Roman" w:cs="Times New Roman" w:eastAsia="Times New Roman" w:hAnsi="Times New Roman"/>
          <w:sz w:val="18"/>
          <w:szCs w:val="18"/>
          <w:color w:val="auto"/>
        </w:rPr>
      </w:pPr>
    </w:p>
    <w:p>
      <w:pPr>
        <w:ind w:left="1260" w:hanging="401"/>
        <w:spacing w:after="0"/>
        <w:tabs>
          <w:tab w:leader="none" w:pos="1260" w:val="left"/>
        </w:tabs>
        <w:numPr>
          <w:ilvl w:val="0"/>
          <w:numId w:val="9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CUSIP, ISIN or other similar numbers, if any, assigned to such Notes; and</w:t>
      </w:r>
    </w:p>
    <w:p>
      <w:pPr>
        <w:spacing w:after="0" w:line="117" w:lineRule="exact"/>
        <w:rPr>
          <w:rFonts w:ascii="Times New Roman" w:cs="Times New Roman" w:eastAsia="Times New Roman" w:hAnsi="Times New Roman"/>
          <w:sz w:val="18"/>
          <w:szCs w:val="18"/>
          <w:color w:val="auto"/>
        </w:rPr>
      </w:pPr>
    </w:p>
    <w:p>
      <w:pPr>
        <w:jc w:val="both"/>
        <w:ind w:left="440" w:right="660" w:firstLine="419"/>
        <w:spacing w:after="0" w:line="312" w:lineRule="auto"/>
        <w:tabs>
          <w:tab w:leader="none" w:pos="1168" w:val="left"/>
        </w:tabs>
        <w:numPr>
          <w:ilvl w:val="0"/>
          <w:numId w:val="97"/>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in case any Note is to be redeemed in part only, the portion of the principal amount thereof to be redeemed and on and after the Redemption Date, upon surrender of such Note, a new Note in principal amount equal to the unredeemed portion thereof shall be issued.</w:t>
      </w:r>
    </w:p>
    <w:p>
      <w:pPr>
        <w:spacing w:after="0" w:line="14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 Redemption Notice shall be irrevocable.</w:t>
      </w:r>
    </w:p>
    <w:p>
      <w:pPr>
        <w:spacing w:after="0" w:line="225" w:lineRule="exact"/>
        <w:rPr>
          <w:sz w:val="20"/>
          <w:szCs w:val="20"/>
          <w:color w:val="auto"/>
        </w:rPr>
      </w:pPr>
    </w:p>
    <w:p>
      <w:pPr>
        <w:ind w:firstLine="436"/>
        <w:spacing w:after="0" w:line="255" w:lineRule="auto"/>
        <w:tabs>
          <w:tab w:leader="none" w:pos="695" w:val="left"/>
        </w:tabs>
        <w:numPr>
          <w:ilvl w:val="0"/>
          <w:numId w:val="9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Company elects to redeem fewer than all of the outstanding Notes, at least $75 million aggregate principal amount of Notes must be outstanding and not subject to redemption as of the date of the relevant Redemption Notice (such requirement, the “</w:t>
      </w:r>
      <w:r>
        <w:rPr>
          <w:rFonts w:ascii="Times New Roman" w:cs="Times New Roman" w:eastAsia="Times New Roman" w:hAnsi="Times New Roman"/>
          <w:sz w:val="18"/>
          <w:szCs w:val="18"/>
          <w:b w:val="1"/>
          <w:bCs w:val="1"/>
          <w:color w:val="auto"/>
        </w:rPr>
        <w:t>Partial Redemption Limitation</w:t>
      </w:r>
      <w:r>
        <w:rPr>
          <w:rFonts w:ascii="Times New Roman" w:cs="Times New Roman" w:eastAsia="Times New Roman" w:hAnsi="Times New Roman"/>
          <w:sz w:val="18"/>
          <w:szCs w:val="18"/>
          <w:color w:val="auto"/>
        </w:rPr>
        <w:t xml:space="preserve">”). If fewer than all of the outstanding Notes are to be redeemed, the Trustee shall select the Notes or portions thereof of a Global Note or the Notes in certificated form to be redeemed (in principal amounts of $1,000 or multiples thereof) by lot, on a </w:t>
      </w:r>
      <w:r>
        <w:rPr>
          <w:rFonts w:ascii="Times New Roman" w:cs="Times New Roman" w:eastAsia="Times New Roman" w:hAnsi="Times New Roman"/>
          <w:sz w:val="18"/>
          <w:szCs w:val="18"/>
          <w:i w:val="1"/>
          <w:iCs w:val="1"/>
          <w:color w:val="auto"/>
        </w:rPr>
        <w:t>pro rata</w:t>
      </w:r>
      <w:r>
        <w:rPr>
          <w:rFonts w:ascii="Times New Roman" w:cs="Times New Roman" w:eastAsia="Times New Roman" w:hAnsi="Times New Roman"/>
          <w:sz w:val="18"/>
          <w:szCs w:val="18"/>
          <w:color w:val="auto"/>
        </w:rPr>
        <w:t xml:space="preserve"> basis or by another method the Trustee considers to be fair and appropriate or as required by the rules and procedures of the Depository. If any Note selected for partial redemption is submitted for conversion in part after such selection, the portion of the Note submitted for conversion shall be deemed (so far as may be possible) to be the portion selected for redemption.</w:t>
      </w:r>
    </w:p>
    <w:p>
      <w:pPr>
        <w:spacing w:after="0" w:line="187" w:lineRule="exact"/>
        <w:rPr>
          <w:sz w:val="20"/>
          <w:szCs w:val="20"/>
          <w:color w:val="auto"/>
        </w:rPr>
      </w:pPr>
    </w:p>
    <w:p>
      <w:pPr>
        <w:ind w:right="60" w:firstLine="440"/>
        <w:spacing w:after="0" w:line="261" w:lineRule="auto"/>
        <w:rPr>
          <w:sz w:val="20"/>
          <w:szCs w:val="20"/>
          <w:color w:val="auto"/>
        </w:rPr>
      </w:pPr>
      <w:r>
        <w:rPr>
          <w:rFonts w:ascii="Times New Roman" w:cs="Times New Roman" w:eastAsia="Times New Roman" w:hAnsi="Times New Roman"/>
          <w:sz w:val="18"/>
          <w:szCs w:val="18"/>
          <w:color w:val="auto"/>
        </w:rPr>
        <w:t xml:space="preserve">Section 16.03. </w:t>
      </w:r>
      <w:r>
        <w:rPr>
          <w:rFonts w:ascii="Times New Roman" w:cs="Times New Roman" w:eastAsia="Times New Roman" w:hAnsi="Times New Roman"/>
          <w:sz w:val="18"/>
          <w:szCs w:val="18"/>
          <w:i w:val="1"/>
          <w:iCs w:val="1"/>
          <w:color w:val="auto"/>
        </w:rPr>
        <w:t>Payment of Notes Called for Redemption</w:t>
      </w:r>
      <w:r>
        <w:rPr>
          <w:rFonts w:ascii="Times New Roman" w:cs="Times New Roman" w:eastAsia="Times New Roman" w:hAnsi="Times New Roman"/>
          <w:sz w:val="18"/>
          <w:szCs w:val="18"/>
          <w:color w:val="auto"/>
        </w:rPr>
        <w:t>. (a) If any Redemption Notice has been given in respect of the Notes in accordance with Section 16.02, the Notes shall become due and payable on the Redemption Date at the place or places stated in the Redemption Notice and at the applicable Redemption Price. On presentation and surrender of the Notes at the place or places stated in the Redemption Notice, the Notes shall be paid and redeemed by the Company at the applicable Redemption Price.</w:t>
      </w:r>
    </w:p>
    <w:p>
      <w:pPr>
        <w:spacing w:after="0" w:line="182" w:lineRule="exact"/>
        <w:rPr>
          <w:sz w:val="20"/>
          <w:szCs w:val="20"/>
          <w:color w:val="auto"/>
        </w:rPr>
      </w:pPr>
    </w:p>
    <w:p>
      <w:pPr>
        <w:ind w:right="20" w:firstLine="436"/>
        <w:spacing w:after="0" w:line="256" w:lineRule="auto"/>
        <w:tabs>
          <w:tab w:leader="none" w:pos="695" w:val="left"/>
        </w:tabs>
        <w:numPr>
          <w:ilvl w:val="0"/>
          <w:numId w:val="9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Prior to the open of business on the Redemption Date, the Company shall deposit with the Paying Agent or, if the Company or a Subsidiary of the Company is acting as the Paying Agent, shall segregate and hold in trust as provided in Section 7.05 an amount of cash (in immediately available funds if deposited on the Redemption Date), sufficient to pay the Redemption Price of all of the Notes to be redeemed on such Redemption Date. Subject to receipt of funds by the Paying Agent, payment for the Notes to be redeemed shall be made on the Redemption Date for such Notes. The Paying Agent shall, promptly after such payment and upon written demand by the Company, return to the Company any funds in excess of the Redemption Price.</w:t>
      </w:r>
    </w:p>
    <w:p>
      <w:pPr>
        <w:spacing w:after="0" w:line="120"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90</w:t>
      </w:r>
    </w:p>
    <w:p>
      <w:pPr>
        <w:sectPr>
          <w:pgSz w:w="11900" w:h="16838" w:orient="portrait"/>
          <w:cols w:equalWidth="0" w:num="1">
            <w:col w:w="10960"/>
          </w:cols>
          <w:pgMar w:left="440" w:top="270" w:right="499" w:bottom="1440" w:gutter="0" w:footer="0" w:header="0"/>
        </w:sectPr>
      </w:pPr>
    </w:p>
    <w:bookmarkStart w:id="101" w:name="page102"/>
    <w:bookmarkEnd w:id="101"/>
    <w:p>
      <w:pPr>
        <w:ind w:right="160" w:firstLine="44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2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 xml:space="preserve">Section 16.04. </w:t>
      </w:r>
      <w:r>
        <w:rPr>
          <w:rFonts w:ascii="Times New Roman" w:cs="Times New Roman" w:eastAsia="Times New Roman" w:hAnsi="Times New Roman"/>
          <w:sz w:val="18"/>
          <w:szCs w:val="18"/>
          <w:i w:val="1"/>
          <w:iCs w:val="1"/>
          <w:color w:val="auto"/>
        </w:rPr>
        <w:t>Restrictions on Redemption</w:t>
      </w:r>
      <w:r>
        <w:rPr>
          <w:rFonts w:ascii="Times New Roman" w:cs="Times New Roman" w:eastAsia="Times New Roman" w:hAnsi="Times New Roman"/>
          <w:sz w:val="18"/>
          <w:szCs w:val="18"/>
          <w:color w:val="auto"/>
        </w:rPr>
        <w:t>. The Company may not redeem any Notes if the Redemption Date would fall after the Maturity Date. In addition, no Notes may be redeemed on any date if the principal amount of the Notes has been accelerated in accordance with the terms of this Indenture, and such acceleration has not been rescinded, on or prior to the Redemption Date (except in the case of an acceleration resulting from a Default by the Company in the payment of the Redemption Price with respect to such Notes).</w:t>
      </w:r>
    </w:p>
    <w:p>
      <w:pPr>
        <w:spacing w:after="0" w:line="18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ARTICLE 17</w:t>
      </w:r>
    </w:p>
    <w:p>
      <w:pPr>
        <w:spacing w:after="0" w:line="2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M</w:t>
      </w:r>
      <w:r>
        <w:rPr>
          <w:rFonts w:ascii="Times New Roman" w:cs="Times New Roman" w:eastAsia="Times New Roman" w:hAnsi="Times New Roman"/>
          <w:sz w:val="14"/>
          <w:szCs w:val="14"/>
          <w:color w:val="auto"/>
        </w:rPr>
        <w:t>ISCELLANEOUS</w:t>
      </w:r>
      <w:r>
        <w:rPr>
          <w:rFonts w:ascii="Times New Roman" w:cs="Times New Roman" w:eastAsia="Times New Roman" w:hAnsi="Times New Roman"/>
          <w:sz w:val="18"/>
          <w:szCs w:val="18"/>
          <w:color w:val="auto"/>
        </w:rPr>
        <w:t xml:space="preserve"> P</w:t>
      </w:r>
      <w:r>
        <w:rPr>
          <w:rFonts w:ascii="Times New Roman" w:cs="Times New Roman" w:eastAsia="Times New Roman" w:hAnsi="Times New Roman"/>
          <w:sz w:val="14"/>
          <w:szCs w:val="14"/>
          <w:color w:val="auto"/>
        </w:rPr>
        <w:t>ROVISIONS</w:t>
      </w:r>
    </w:p>
    <w:p>
      <w:pPr>
        <w:spacing w:after="0" w:line="205" w:lineRule="exact"/>
        <w:rPr>
          <w:sz w:val="20"/>
          <w:szCs w:val="20"/>
          <w:color w:val="auto"/>
        </w:rPr>
      </w:pPr>
    </w:p>
    <w:p>
      <w:pPr>
        <w:ind w:right="60" w:firstLine="440"/>
        <w:spacing w:after="0" w:line="284" w:lineRule="auto"/>
        <w:rPr>
          <w:sz w:val="20"/>
          <w:szCs w:val="20"/>
          <w:color w:val="auto"/>
        </w:rPr>
      </w:pPr>
      <w:r>
        <w:rPr>
          <w:rFonts w:ascii="Times New Roman" w:cs="Times New Roman" w:eastAsia="Times New Roman" w:hAnsi="Times New Roman"/>
          <w:sz w:val="18"/>
          <w:szCs w:val="18"/>
          <w:color w:val="auto"/>
        </w:rPr>
        <w:t>Section 17.01</w:t>
      </w:r>
      <w:r>
        <w:rPr>
          <w:rFonts w:ascii="Times New Roman" w:cs="Times New Roman" w:eastAsia="Times New Roman" w:hAnsi="Times New Roman"/>
          <w:sz w:val="18"/>
          <w:szCs w:val="18"/>
          <w:i w:val="1"/>
          <w:iCs w:val="1"/>
          <w:color w:val="auto"/>
        </w:rPr>
        <w:t>. Provisions Binding on Company’s Successors.</w:t>
      </w:r>
      <w:r>
        <w:rPr>
          <w:rFonts w:ascii="Times New Roman" w:cs="Times New Roman" w:eastAsia="Times New Roman" w:hAnsi="Times New Roman"/>
          <w:sz w:val="18"/>
          <w:szCs w:val="18"/>
          <w:color w:val="auto"/>
        </w:rPr>
        <w:t xml:space="preserve"> All the covenants, stipulations, promises and agreements of the Company contained in this Indenture shall bind its successors and assigns whether so expressed or not.</w:t>
      </w:r>
    </w:p>
    <w:p>
      <w:pPr>
        <w:spacing w:after="0" w:line="158" w:lineRule="exact"/>
        <w:rPr>
          <w:sz w:val="20"/>
          <w:szCs w:val="20"/>
          <w:color w:val="auto"/>
        </w:rPr>
      </w:pPr>
    </w:p>
    <w:p>
      <w:pPr>
        <w:ind w:right="40" w:firstLine="440"/>
        <w:spacing w:after="0" w:line="267" w:lineRule="auto"/>
        <w:rPr>
          <w:sz w:val="20"/>
          <w:szCs w:val="20"/>
          <w:color w:val="auto"/>
        </w:rPr>
      </w:pPr>
      <w:r>
        <w:rPr>
          <w:rFonts w:ascii="Times New Roman" w:cs="Times New Roman" w:eastAsia="Times New Roman" w:hAnsi="Times New Roman"/>
          <w:sz w:val="18"/>
          <w:szCs w:val="18"/>
          <w:color w:val="auto"/>
        </w:rPr>
        <w:t>Section 17.02</w:t>
      </w:r>
      <w:r>
        <w:rPr>
          <w:rFonts w:ascii="Times New Roman" w:cs="Times New Roman" w:eastAsia="Times New Roman" w:hAnsi="Times New Roman"/>
          <w:sz w:val="18"/>
          <w:szCs w:val="18"/>
          <w:i w:val="1"/>
          <w:iCs w:val="1"/>
          <w:color w:val="auto"/>
        </w:rPr>
        <w:t>. Official Acts by Successor Corporation.</w:t>
      </w:r>
      <w:r>
        <w:rPr>
          <w:rFonts w:ascii="Times New Roman" w:cs="Times New Roman" w:eastAsia="Times New Roman" w:hAnsi="Times New Roman"/>
          <w:sz w:val="18"/>
          <w:szCs w:val="18"/>
          <w:color w:val="auto"/>
        </w:rPr>
        <w:t xml:space="preserve"> Any act or proceeding by any provision of this Indenture authorized or required to be done or performed by any board, committee or Officer of the Company shall and may be done and performed with like force and effect by the like board, committee or officer of any corporation or other entity that shall at the time be the lawful sole successor of the Company.</w:t>
      </w:r>
    </w:p>
    <w:p>
      <w:pPr>
        <w:spacing w:after="0" w:line="173" w:lineRule="exact"/>
        <w:rPr>
          <w:sz w:val="20"/>
          <w:szCs w:val="20"/>
          <w:color w:val="auto"/>
        </w:rPr>
      </w:pPr>
    </w:p>
    <w:p>
      <w:pPr>
        <w:ind w:firstLine="440"/>
        <w:spacing w:after="0" w:line="254" w:lineRule="auto"/>
        <w:rPr>
          <w:sz w:val="20"/>
          <w:szCs w:val="20"/>
          <w:color w:val="auto"/>
        </w:rPr>
      </w:pPr>
      <w:r>
        <w:rPr>
          <w:rFonts w:ascii="Times New Roman" w:cs="Times New Roman" w:eastAsia="Times New Roman" w:hAnsi="Times New Roman"/>
          <w:sz w:val="18"/>
          <w:szCs w:val="18"/>
          <w:color w:val="auto"/>
        </w:rPr>
        <w:t>Section 17.03</w:t>
      </w:r>
      <w:r>
        <w:rPr>
          <w:rFonts w:ascii="Times New Roman" w:cs="Times New Roman" w:eastAsia="Times New Roman" w:hAnsi="Times New Roman"/>
          <w:sz w:val="18"/>
          <w:szCs w:val="18"/>
          <w:i w:val="1"/>
          <w:iCs w:val="1"/>
          <w:color w:val="auto"/>
        </w:rPr>
        <w:t>. Addresses for Notices, Etc.</w:t>
      </w:r>
      <w:r>
        <w:rPr>
          <w:rFonts w:ascii="Times New Roman" w:cs="Times New Roman" w:eastAsia="Times New Roman" w:hAnsi="Times New Roman"/>
          <w:sz w:val="18"/>
          <w:szCs w:val="18"/>
          <w:color w:val="auto"/>
        </w:rPr>
        <w:t xml:space="preserve"> Any notice or demand that by any provision of this Indenture is required or permitted to be given or served by the Trustee or by the Holders on the Company shall be deemed to have been sufficiently given or made, for all purposes if given or served by being deposited postage prepaid by registered or certified mail in a post office letter box addressed (until another address is filed by the Company with the Trustee) to MicroStrategy Incorporated, 1850 Towers Crescent Plaza, Tysons Corner, VA 22182, Attention: General Counsel. Any notice, direction, request or demand hereunder to or upon the Trustee shall be in writing (including facsimile or electronic communications in PDF format). Notices by certified or registered mails shall be deemed to have been sufficiently given or made, for all purposes, if given or served by being deposited postage prepaid by registered or certified mail in a post office letter box addressed to the Corporate Trust Office. Notice to the Trustee by electronic mail shall be deemed to have been sufficiently given or made, for all purposes, if sent to karen.beard@usbank.com or such other email address as the Trustee may from time to time designate in writing to the Company the Holders absent receipt of a failure to deliver notice.</w:t>
      </w:r>
    </w:p>
    <w:p>
      <w:pPr>
        <w:spacing w:after="0" w:line="190"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The Trustee, by notice to the Company, may designate additional or different addresses for subsequent notices or communications.</w:t>
      </w:r>
    </w:p>
    <w:p>
      <w:pPr>
        <w:spacing w:after="0" w:line="225" w:lineRule="exact"/>
        <w:rPr>
          <w:sz w:val="20"/>
          <w:szCs w:val="20"/>
          <w:color w:val="auto"/>
        </w:rPr>
      </w:pPr>
    </w:p>
    <w:p>
      <w:pPr>
        <w:ind w:firstLine="440"/>
        <w:spacing w:after="0" w:line="261" w:lineRule="auto"/>
        <w:rPr>
          <w:sz w:val="20"/>
          <w:szCs w:val="20"/>
          <w:color w:val="auto"/>
        </w:rPr>
      </w:pPr>
      <w:r>
        <w:rPr>
          <w:rFonts w:ascii="Times New Roman" w:cs="Times New Roman" w:eastAsia="Times New Roman" w:hAnsi="Times New Roman"/>
          <w:sz w:val="18"/>
          <w:szCs w:val="18"/>
          <w:color w:val="auto"/>
        </w:rPr>
        <w:t>Any notice or communication delivered or to be delivered to a Holder of Physical Notes shall be mailed to it by first class mail, postage prepaid, at its address as it appears on the Note Register and shall be sufficiently given to it if so mailed within the time prescribed. Any notice or communication delivered or to be delivered to a Holder of Global Notes shall be delivered in accordance with the applicable procedures of the Depositary and shall be sufficiently given to it if so delivered within the time prescribed.</w:t>
      </w:r>
    </w:p>
    <w:p>
      <w:pPr>
        <w:spacing w:after="0" w:line="35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91</w:t>
      </w:r>
    </w:p>
    <w:p>
      <w:pPr>
        <w:sectPr>
          <w:pgSz w:w="11900" w:h="16838" w:orient="portrait"/>
          <w:cols w:equalWidth="0" w:num="1">
            <w:col w:w="11000"/>
          </w:cols>
          <w:pgMar w:left="440" w:top="268" w:right="459" w:bottom="1440" w:gutter="0" w:footer="0" w:header="0"/>
        </w:sectPr>
      </w:pPr>
    </w:p>
    <w:bookmarkStart w:id="102" w:name="page103"/>
    <w:bookmarkEnd w:id="102"/>
    <w:p>
      <w:pPr>
        <w:ind w:right="20" w:firstLine="440"/>
        <w:spacing w:after="0" w:line="26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27">
                      <a:extLst>
                        <a:ext uri="{28A0092B-C50C-407E-A947-70E740481C1C}"/>
                      </a:extLst>
                    </a:blip>
                    <a:srcRect/>
                    <a:stretch>
                      <a:fillRect/>
                    </a:stretch>
                  </pic:blipFill>
                  <pic:spPr bwMode="auto">
                    <a:xfrm>
                      <a:off x="0" y="0"/>
                      <a:ext cx="7174865" cy="38100"/>
                    </a:xfrm>
                    <a:prstGeom prst="rect">
                      <a:avLst/>
                    </a:prstGeom>
                    <a:noFill/>
                  </pic:spPr>
                </pic:pic>
              </a:graphicData>
            </a:graphic>
          </wp:anchor>
        </w:drawing>
        <w:t>Failure to mail or deliver a notice or communication to a Holder or any defect in it shall not affect its sufficiency with respect to other Holders. If a notice or communication is mailed or delivered, as the case may be, in the manner provided above, it is duly given, whether or not the addressee receives it.</w:t>
      </w:r>
    </w:p>
    <w:p>
      <w:pPr>
        <w:spacing w:after="0" w:line="176" w:lineRule="exact"/>
        <w:rPr>
          <w:sz w:val="20"/>
          <w:szCs w:val="20"/>
          <w:color w:val="auto"/>
        </w:rPr>
      </w:pPr>
    </w:p>
    <w:p>
      <w:pPr>
        <w:ind w:right="120" w:firstLine="440"/>
        <w:spacing w:after="0" w:line="312" w:lineRule="auto"/>
        <w:rPr>
          <w:sz w:val="20"/>
          <w:szCs w:val="20"/>
          <w:color w:val="auto"/>
        </w:rPr>
      </w:pPr>
      <w:r>
        <w:rPr>
          <w:rFonts w:ascii="Times New Roman" w:cs="Times New Roman" w:eastAsia="Times New Roman" w:hAnsi="Times New Roman"/>
          <w:sz w:val="17"/>
          <w:szCs w:val="17"/>
          <w:color w:val="auto"/>
        </w:rPr>
        <w:t>In case by reason of the suspension of regular mail service or by reason of any other cause it shall be impracticable to give such notice to Holders by mail, then such notification as shall be made with the approval of the Trustee shall constitute a sufficient notification for every purpose hereunder.</w:t>
      </w:r>
    </w:p>
    <w:p>
      <w:pPr>
        <w:spacing w:after="0" w:line="140" w:lineRule="exact"/>
        <w:rPr>
          <w:sz w:val="20"/>
          <w:szCs w:val="20"/>
          <w:color w:val="auto"/>
        </w:rPr>
      </w:pPr>
    </w:p>
    <w:p>
      <w:pPr>
        <w:ind w:firstLine="440"/>
        <w:spacing w:after="0" w:line="253" w:lineRule="auto"/>
        <w:rPr>
          <w:sz w:val="20"/>
          <w:szCs w:val="20"/>
          <w:color w:val="auto"/>
        </w:rPr>
      </w:pPr>
      <w:r>
        <w:rPr>
          <w:rFonts w:ascii="Times New Roman" w:cs="Times New Roman" w:eastAsia="Times New Roman" w:hAnsi="Times New Roman"/>
          <w:sz w:val="18"/>
          <w:szCs w:val="18"/>
          <w:color w:val="auto"/>
        </w:rPr>
        <w:t>The Trustee shall have the right to accept and act upon any notice, instruction, or other communication, including any funds transfer instruction, (each, a “</w:t>
      </w:r>
      <w:r>
        <w:rPr>
          <w:rFonts w:ascii="Times New Roman" w:cs="Times New Roman" w:eastAsia="Times New Roman" w:hAnsi="Times New Roman"/>
          <w:sz w:val="18"/>
          <w:szCs w:val="18"/>
          <w:b w:val="1"/>
          <w:bCs w:val="1"/>
          <w:color w:val="auto"/>
        </w:rPr>
        <w:t>Notice</w:t>
      </w:r>
      <w:r>
        <w:rPr>
          <w:rFonts w:ascii="Times New Roman" w:cs="Times New Roman" w:eastAsia="Times New Roman" w:hAnsi="Times New Roman"/>
          <w:sz w:val="18"/>
          <w:szCs w:val="18"/>
          <w:color w:val="auto"/>
        </w:rPr>
        <w:t>”) received pursuant to this Agreement by electronic transmission (including by e-mail, facsimile transmission, web portal or other electronic methods) and shall not have any duty to confirm that the person sending such Notice is, in fact, a person authorized to do so. Electronic signatures believed by the Trustee to comply with the ESIGN Act of 2000 or other applicable law (including electronic images of handwritten signatures and digital signatures provided by DocuSign, Orbit, Adobe Sign or any other digital signature provider identified by any other party hereto and acceptable to the Trustee) shall be deemed original signatures for all purposes. Each other party to this Agreement assumes all risks arising out of the use of electronic signatures and electronic methods to send Notices to the Trustee, including without limitation the risk of the Trustee acting on an unauthorized Notice and the risk of interception or misuse by third parties. Notwithstanding the foregoing, the Trustee may in any instance and in its sole discretion require that a Notice in the form of an original document bearing a manual signature be delivered to the Trustee in lieu of, or in addition to, any such electronic Notice.</w:t>
      </w:r>
    </w:p>
    <w:p>
      <w:pPr>
        <w:spacing w:after="0" w:line="192" w:lineRule="exact"/>
        <w:rPr>
          <w:sz w:val="20"/>
          <w:szCs w:val="20"/>
          <w:color w:val="auto"/>
        </w:rPr>
      </w:pPr>
    </w:p>
    <w:p>
      <w:pPr>
        <w:ind w:right="320" w:firstLine="440"/>
        <w:spacing w:after="0" w:line="261" w:lineRule="auto"/>
        <w:rPr>
          <w:sz w:val="20"/>
          <w:szCs w:val="20"/>
          <w:color w:val="auto"/>
        </w:rPr>
      </w:pPr>
      <w:r>
        <w:rPr>
          <w:rFonts w:ascii="Times New Roman" w:cs="Times New Roman" w:eastAsia="Times New Roman" w:hAnsi="Times New Roman"/>
          <w:sz w:val="18"/>
          <w:szCs w:val="18"/>
          <w:color w:val="auto"/>
        </w:rPr>
        <w:t>Section 17.04</w:t>
      </w:r>
      <w:r>
        <w:rPr>
          <w:rFonts w:ascii="Times New Roman" w:cs="Times New Roman" w:eastAsia="Times New Roman" w:hAnsi="Times New Roman"/>
          <w:sz w:val="18"/>
          <w:szCs w:val="18"/>
          <w:i w:val="1"/>
          <w:iCs w:val="1"/>
          <w:color w:val="auto"/>
        </w:rPr>
        <w:t>. Governing Law; Jurisdiction.</w:t>
      </w:r>
      <w:r>
        <w:rPr>
          <w:rFonts w:ascii="Times New Roman" w:cs="Times New Roman" w:eastAsia="Times New Roman" w:hAnsi="Times New Roman"/>
          <w:sz w:val="18"/>
          <w:szCs w:val="18"/>
          <w:color w:val="auto"/>
        </w:rPr>
        <w:t xml:space="preserve"> THIS INDENTURE AND EACH NOTE, AND ANY CLAIM, CONTROVERSY OR DISPUTE ARISING UNDER OR RELATED TO THIS INDENTURE AND EACH NOTE, SHALL BE GOVERNED BY, AND CONSTRUED IN ACCORDANCE WITH, THE LAWS OF THE STATE OF NEW YORK (WITHOUT REGARD TO THE CONFLICTS OF LAWS PROVISIONS THEREOF).</w:t>
      </w:r>
    </w:p>
    <w:p>
      <w:pPr>
        <w:spacing w:after="0" w:line="182" w:lineRule="exact"/>
        <w:rPr>
          <w:sz w:val="20"/>
          <w:szCs w:val="20"/>
          <w:color w:val="auto"/>
        </w:rPr>
      </w:pPr>
    </w:p>
    <w:p>
      <w:pPr>
        <w:ind w:right="20" w:firstLine="440"/>
        <w:spacing w:after="0" w:line="256" w:lineRule="auto"/>
        <w:rPr>
          <w:sz w:val="20"/>
          <w:szCs w:val="20"/>
          <w:color w:val="auto"/>
        </w:rPr>
      </w:pPr>
      <w:r>
        <w:rPr>
          <w:rFonts w:ascii="Times New Roman" w:cs="Times New Roman" w:eastAsia="Times New Roman" w:hAnsi="Times New Roman"/>
          <w:sz w:val="18"/>
          <w:szCs w:val="18"/>
          <w:color w:val="auto"/>
        </w:rPr>
        <w:t xml:space="preserve">The Company irrevocably consents and agrees, for the benefit of the Holders from time to time of the Notes and the Trustee, that any legal action, suit or proceeding against it with respect to obligations, liabilities or any other matter arising out of or in connection with this Indenture or the Notes may be brought in the courts of the State of New York or the courts of the United States located in the Borough of Manhattan, New York City, New York and, until amounts due and to become due in respect of the Notes have been paid, hereby irrevocably consents and submits to the non-exclusive jurisdiction of each such court </w:t>
      </w:r>
      <w:r>
        <w:rPr>
          <w:rFonts w:ascii="Times New Roman" w:cs="Times New Roman" w:eastAsia="Times New Roman" w:hAnsi="Times New Roman"/>
          <w:sz w:val="18"/>
          <w:szCs w:val="18"/>
          <w:i w:val="1"/>
          <w:iCs w:val="1"/>
          <w:color w:val="auto"/>
        </w:rPr>
        <w:t>in personam</w:t>
      </w:r>
      <w:r>
        <w:rPr>
          <w:rFonts w:ascii="Times New Roman" w:cs="Times New Roman" w:eastAsia="Times New Roman" w:hAnsi="Times New Roman"/>
          <w:sz w:val="18"/>
          <w:szCs w:val="18"/>
          <w:color w:val="auto"/>
        </w:rPr>
        <w:t>, generally and unconditionally with respect to any action, suit or proceeding for itself in respect of its properties, assets and revenues.</w:t>
      </w:r>
    </w:p>
    <w:p>
      <w:pPr>
        <w:spacing w:after="0" w:line="36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92</w:t>
      </w:r>
    </w:p>
    <w:p>
      <w:pPr>
        <w:sectPr>
          <w:pgSz w:w="11900" w:h="16838" w:orient="portrait"/>
          <w:cols w:equalWidth="0" w:num="1">
            <w:col w:w="11020"/>
          </w:cols>
          <w:pgMar w:left="440" w:top="270" w:right="439" w:bottom="1440" w:gutter="0" w:footer="0" w:header="0"/>
        </w:sectPr>
      </w:pPr>
    </w:p>
    <w:bookmarkStart w:id="103" w:name="page104"/>
    <w:bookmarkEnd w:id="103"/>
    <w:p>
      <w:pPr>
        <w:ind w:right="20" w:firstLine="440"/>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8">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The Company irrevocably and unconditionally waives, to the fullest extent permitted by law, any objection which it may now or hereafter have to the laying of venue of any of the aforesaid actions, suits or proceedings arising out of or in connection with this Indenture brought in the courts of the State of New York or the courts of the United States located in the Borough of Manhattan, New York City, New York and hereby further irrevocably and unconditionally waives and agrees not to plead or claim in any such court that any such action, suit or proceeding brought in any such court has been brought in an inconvenient forum.</w:t>
      </w:r>
    </w:p>
    <w:p>
      <w:pPr>
        <w:spacing w:after="0" w:line="181" w:lineRule="exact"/>
        <w:rPr>
          <w:sz w:val="20"/>
          <w:szCs w:val="20"/>
          <w:color w:val="auto"/>
        </w:rPr>
      </w:pPr>
    </w:p>
    <w:p>
      <w:pPr>
        <w:ind w:right="120" w:firstLine="440"/>
        <w:spacing w:after="0" w:line="261" w:lineRule="auto"/>
        <w:rPr>
          <w:sz w:val="20"/>
          <w:szCs w:val="20"/>
          <w:color w:val="auto"/>
        </w:rPr>
      </w:pPr>
      <w:r>
        <w:rPr>
          <w:rFonts w:ascii="Times New Roman" w:cs="Times New Roman" w:eastAsia="Times New Roman" w:hAnsi="Times New Roman"/>
          <w:sz w:val="18"/>
          <w:szCs w:val="18"/>
          <w:color w:val="auto"/>
        </w:rPr>
        <w:t>Section 17.05</w:t>
      </w:r>
      <w:r>
        <w:rPr>
          <w:rFonts w:ascii="Times New Roman" w:cs="Times New Roman" w:eastAsia="Times New Roman" w:hAnsi="Times New Roman"/>
          <w:sz w:val="18"/>
          <w:szCs w:val="18"/>
          <w:i w:val="1"/>
          <w:iCs w:val="1"/>
          <w:color w:val="auto"/>
        </w:rPr>
        <w:t>. Evidence of Compliance with Conditions Precedent; Certificates and Opinions of Counsel to Trustee.</w:t>
      </w:r>
      <w:r>
        <w:rPr>
          <w:rFonts w:ascii="Times New Roman" w:cs="Times New Roman" w:eastAsia="Times New Roman" w:hAnsi="Times New Roman"/>
          <w:sz w:val="18"/>
          <w:szCs w:val="18"/>
          <w:color w:val="auto"/>
        </w:rPr>
        <w:t xml:space="preserve"> Upon any application or demand by the Company to the Trustee to take any action under any of the provisions of this Indenture, the Company shall, if requested by the Trustee, furnish to the Trustee an Officer’s Certificate and/or Opinion of Counsel, in form and substance reasonably satisfactory to the Trustee, stating that such action is permitted by the terms of this Indenture and that all conditions precedent to such actions have been complied with.</w:t>
      </w:r>
    </w:p>
    <w:p>
      <w:pPr>
        <w:spacing w:after="0" w:line="182" w:lineRule="exact"/>
        <w:rPr>
          <w:sz w:val="20"/>
          <w:szCs w:val="20"/>
          <w:color w:val="auto"/>
        </w:rPr>
      </w:pPr>
    </w:p>
    <w:p>
      <w:pPr>
        <w:ind w:firstLine="440"/>
        <w:spacing w:after="0" w:line="255" w:lineRule="auto"/>
        <w:rPr>
          <w:sz w:val="20"/>
          <w:szCs w:val="20"/>
          <w:color w:val="auto"/>
        </w:rPr>
      </w:pPr>
      <w:r>
        <w:rPr>
          <w:rFonts w:ascii="Times New Roman" w:cs="Times New Roman" w:eastAsia="Times New Roman" w:hAnsi="Times New Roman"/>
          <w:sz w:val="18"/>
          <w:szCs w:val="18"/>
          <w:color w:val="auto"/>
        </w:rPr>
        <w:t>Each Officer’s Certificate and Opinion of Counsel provided for, by or on behalf of the Company in this Indenture and delivered to the Trustee with respect to compliance with this Indenture (other than the Officer’s Certificates provided for in Section 4.08) shall include (a) a statement that the person signing such certificate is familiar with the requested action and this Indenture; (b) a brief statement as to the nature and scope of the examination or investigation upon which the statement contained in such certificate is based; (c) a statement that, in the judgment of such person, he or she has made such examination or investigation as is necessary to enable him or her to express an informed judgment as to whether or not such action is permitted by this Indenture; and (d) a statement as to whether or not, in the judgment of such person, such action is permitted by this Indenture and that all conditions precedent to such action have been complied with.</w:t>
      </w:r>
    </w:p>
    <w:p>
      <w:pPr>
        <w:spacing w:after="0" w:line="189" w:lineRule="exact"/>
        <w:rPr>
          <w:sz w:val="20"/>
          <w:szCs w:val="20"/>
          <w:color w:val="auto"/>
        </w:rPr>
      </w:pPr>
    </w:p>
    <w:p>
      <w:pPr>
        <w:ind w:right="120" w:firstLine="440"/>
        <w:spacing w:after="0" w:line="266" w:lineRule="auto"/>
        <w:rPr>
          <w:sz w:val="20"/>
          <w:szCs w:val="20"/>
          <w:color w:val="auto"/>
        </w:rPr>
      </w:pPr>
      <w:r>
        <w:rPr>
          <w:rFonts w:ascii="Times New Roman" w:cs="Times New Roman" w:eastAsia="Times New Roman" w:hAnsi="Times New Roman"/>
          <w:sz w:val="18"/>
          <w:szCs w:val="18"/>
          <w:color w:val="auto"/>
        </w:rPr>
        <w:t>Notwithstanding anything to the contrary in this Section 17.05, if any provision in this Indenture specifically provides that the Trustee shall or may receive an Opinion of Counsel in connection with any action to be taken by the Trustee or the Company hereunder, the Trustee shall be entitled to, or entitled to request, such Opinion of Counsel.</w:t>
      </w:r>
    </w:p>
    <w:p>
      <w:pPr>
        <w:spacing w:after="0" w:line="174" w:lineRule="exact"/>
        <w:rPr>
          <w:sz w:val="20"/>
          <w:szCs w:val="20"/>
          <w:color w:val="auto"/>
        </w:rPr>
      </w:pPr>
    </w:p>
    <w:p>
      <w:pPr>
        <w:ind w:firstLine="440"/>
        <w:spacing w:after="0" w:line="267" w:lineRule="auto"/>
        <w:rPr>
          <w:sz w:val="20"/>
          <w:szCs w:val="20"/>
          <w:color w:val="auto"/>
        </w:rPr>
      </w:pPr>
      <w:r>
        <w:rPr>
          <w:rFonts w:ascii="Times New Roman" w:cs="Times New Roman" w:eastAsia="Times New Roman" w:hAnsi="Times New Roman"/>
          <w:sz w:val="18"/>
          <w:szCs w:val="18"/>
          <w:color w:val="auto"/>
        </w:rPr>
        <w:t>Section 17.06</w:t>
      </w:r>
      <w:r>
        <w:rPr>
          <w:rFonts w:ascii="Times New Roman" w:cs="Times New Roman" w:eastAsia="Times New Roman" w:hAnsi="Times New Roman"/>
          <w:sz w:val="18"/>
          <w:szCs w:val="18"/>
          <w:i w:val="1"/>
          <w:iCs w:val="1"/>
          <w:color w:val="auto"/>
        </w:rPr>
        <w:t>. Legal Holidays.</w:t>
      </w:r>
      <w:r>
        <w:rPr>
          <w:rFonts w:ascii="Times New Roman" w:cs="Times New Roman" w:eastAsia="Times New Roman" w:hAnsi="Times New Roman"/>
          <w:sz w:val="18"/>
          <w:szCs w:val="18"/>
          <w:color w:val="auto"/>
        </w:rPr>
        <w:t xml:space="preserve"> In any case where any Interest Payment Date, any Fundamental Change Repurchase Date, any Redemption Date or the Maturity Date is not a Business Day, then any action to be taken on such date need not be taken on such date, but may be taken on the next succeeding Business Day with the same force and effect as if taken on such date, and no interest shall accrue in respect of the delay.</w:t>
      </w:r>
    </w:p>
    <w:p>
      <w:pPr>
        <w:spacing w:after="0" w:line="173" w:lineRule="exact"/>
        <w:rPr>
          <w:sz w:val="20"/>
          <w:szCs w:val="20"/>
          <w:color w:val="auto"/>
        </w:rPr>
      </w:pPr>
    </w:p>
    <w:p>
      <w:pPr>
        <w:ind w:right="380" w:firstLine="440"/>
        <w:spacing w:after="0" w:line="284" w:lineRule="auto"/>
        <w:rPr>
          <w:sz w:val="20"/>
          <w:szCs w:val="20"/>
          <w:color w:val="auto"/>
        </w:rPr>
      </w:pPr>
      <w:r>
        <w:rPr>
          <w:rFonts w:ascii="Times New Roman" w:cs="Times New Roman" w:eastAsia="Times New Roman" w:hAnsi="Times New Roman"/>
          <w:sz w:val="18"/>
          <w:szCs w:val="18"/>
          <w:color w:val="auto"/>
        </w:rPr>
        <w:t>Section 17.07</w:t>
      </w:r>
      <w:r>
        <w:rPr>
          <w:rFonts w:ascii="Times New Roman" w:cs="Times New Roman" w:eastAsia="Times New Roman" w:hAnsi="Times New Roman"/>
          <w:sz w:val="18"/>
          <w:szCs w:val="18"/>
          <w:i w:val="1"/>
          <w:iCs w:val="1"/>
          <w:color w:val="auto"/>
        </w:rPr>
        <w:t>. No Security Interest Created.</w:t>
      </w:r>
      <w:r>
        <w:rPr>
          <w:rFonts w:ascii="Times New Roman" w:cs="Times New Roman" w:eastAsia="Times New Roman" w:hAnsi="Times New Roman"/>
          <w:sz w:val="18"/>
          <w:szCs w:val="18"/>
          <w:color w:val="auto"/>
        </w:rPr>
        <w:t xml:space="preserve"> Nothing in this Indenture or in the Notes, expressed or implied, shall be construed to constitute a security interest under the Uniform Commercial Code or similar legislation, as now or hereafter enacted and in effect, in any jurisdiction.</w:t>
      </w:r>
    </w:p>
    <w:p>
      <w:pPr>
        <w:spacing w:after="0" w:line="158" w:lineRule="exact"/>
        <w:rPr>
          <w:sz w:val="20"/>
          <w:szCs w:val="20"/>
          <w:color w:val="auto"/>
        </w:rPr>
      </w:pPr>
    </w:p>
    <w:p>
      <w:pPr>
        <w:ind w:right="120" w:firstLine="440"/>
        <w:spacing w:after="0" w:line="267" w:lineRule="auto"/>
        <w:rPr>
          <w:sz w:val="20"/>
          <w:szCs w:val="20"/>
          <w:color w:val="auto"/>
        </w:rPr>
      </w:pPr>
      <w:r>
        <w:rPr>
          <w:rFonts w:ascii="Times New Roman" w:cs="Times New Roman" w:eastAsia="Times New Roman" w:hAnsi="Times New Roman"/>
          <w:sz w:val="18"/>
          <w:szCs w:val="18"/>
          <w:color w:val="auto"/>
        </w:rPr>
        <w:t>Section 17.08</w:t>
      </w:r>
      <w:r>
        <w:rPr>
          <w:rFonts w:ascii="Times New Roman" w:cs="Times New Roman" w:eastAsia="Times New Roman" w:hAnsi="Times New Roman"/>
          <w:sz w:val="18"/>
          <w:szCs w:val="18"/>
          <w:i w:val="1"/>
          <w:iCs w:val="1"/>
          <w:color w:val="auto"/>
        </w:rPr>
        <w:t>. Benefits of Indenture.</w:t>
      </w:r>
      <w:r>
        <w:rPr>
          <w:rFonts w:ascii="Times New Roman" w:cs="Times New Roman" w:eastAsia="Times New Roman" w:hAnsi="Times New Roman"/>
          <w:sz w:val="18"/>
          <w:szCs w:val="18"/>
          <w:color w:val="auto"/>
        </w:rPr>
        <w:t xml:space="preserve"> Nothing in this Indenture or in the Notes, expressed or implied, shall give to any Person, other than the Holders, the parties hereto, any Paying Agent, any Conversion Agent, any Custodian, any authenticating agent, any Note Registrar and their successors hereunder, any benefit or any legal or equitable right, remedy or claim under this Indenture.</w:t>
      </w:r>
    </w:p>
    <w:p>
      <w:pPr>
        <w:spacing w:after="0" w:line="35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93</w:t>
      </w:r>
    </w:p>
    <w:p>
      <w:pPr>
        <w:sectPr>
          <w:pgSz w:w="11900" w:h="16838" w:orient="portrait"/>
          <w:cols w:equalWidth="0" w:num="1">
            <w:col w:w="11000"/>
          </w:cols>
          <w:pgMar w:left="440" w:top="270" w:right="459" w:bottom="1440" w:gutter="0" w:footer="0" w:header="0"/>
        </w:sectPr>
      </w:pPr>
    </w:p>
    <w:bookmarkStart w:id="104" w:name="page105"/>
    <w:bookmarkEnd w:id="104"/>
    <w:p>
      <w:pPr>
        <w:ind w:right="240" w:firstLine="440"/>
        <w:spacing w:after="0" w:line="267"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29">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Section 17.09</w:t>
      </w:r>
      <w:r>
        <w:rPr>
          <w:rFonts w:ascii="Times New Roman" w:cs="Times New Roman" w:eastAsia="Times New Roman" w:hAnsi="Times New Roman"/>
          <w:sz w:val="18"/>
          <w:szCs w:val="18"/>
          <w:i w:val="1"/>
          <w:iCs w:val="1"/>
          <w:color w:val="auto"/>
        </w:rPr>
        <w:t>. Table of Contents, Headings, Etc.</w:t>
      </w:r>
      <w:r>
        <w:rPr>
          <w:rFonts w:ascii="Times New Roman" w:cs="Times New Roman" w:eastAsia="Times New Roman" w:hAnsi="Times New Roman"/>
          <w:sz w:val="18"/>
          <w:szCs w:val="18"/>
          <w:color w:val="auto"/>
        </w:rPr>
        <w:t xml:space="preserve"> The table of contents and the titles and headings of the articles and sections of this Indenture have been inserted for convenience of reference only, are not to be considered a part hereof, and shall in no way modify or restrict any of the terms or provisions hereof.</w:t>
      </w:r>
    </w:p>
    <w:p>
      <w:pPr>
        <w:spacing w:after="0" w:line="173" w:lineRule="exact"/>
        <w:rPr>
          <w:sz w:val="20"/>
          <w:szCs w:val="20"/>
          <w:color w:val="auto"/>
        </w:rPr>
      </w:pPr>
    </w:p>
    <w:p>
      <w:pPr>
        <w:ind w:firstLine="440"/>
        <w:spacing w:after="0" w:line="255" w:lineRule="auto"/>
        <w:rPr>
          <w:sz w:val="20"/>
          <w:szCs w:val="20"/>
          <w:color w:val="auto"/>
        </w:rPr>
      </w:pPr>
      <w:r>
        <w:rPr>
          <w:rFonts w:ascii="Times New Roman" w:cs="Times New Roman" w:eastAsia="Times New Roman" w:hAnsi="Times New Roman"/>
          <w:sz w:val="18"/>
          <w:szCs w:val="18"/>
          <w:color w:val="auto"/>
        </w:rPr>
        <w:t>Section 17.10</w:t>
      </w:r>
      <w:r>
        <w:rPr>
          <w:rFonts w:ascii="Times New Roman" w:cs="Times New Roman" w:eastAsia="Times New Roman" w:hAnsi="Times New Roman"/>
          <w:sz w:val="18"/>
          <w:szCs w:val="18"/>
          <w:i w:val="1"/>
          <w:iCs w:val="1"/>
          <w:color w:val="auto"/>
        </w:rPr>
        <w:t>. Authenticating Agent.</w:t>
      </w:r>
      <w:r>
        <w:rPr>
          <w:rFonts w:ascii="Times New Roman" w:cs="Times New Roman" w:eastAsia="Times New Roman" w:hAnsi="Times New Roman"/>
          <w:sz w:val="18"/>
          <w:szCs w:val="18"/>
          <w:color w:val="auto"/>
        </w:rPr>
        <w:t xml:space="preserve"> The Trustee may appoint an authenticating agent that shall be authorized to act on its behalf and subject to its direction in the authentication and delivery of Notes in connection with the original issuance thereof and transfers and exchanges of Notes hereunder, including under Section 2.04, Section 2.05, Section 2.06, Section 2.07, Section 10.04 and Section 15.04 as fully to all intents and purposes as though the authenticating agent had been expressly authorized by this Indenture and those Sections to authenticate and deliver Notes. For all purposes of this Indenture, the authentication and delivery of Notes by the authenticating agent shall be deemed to be authentication and delivery of such Notes “by the Trustee” and a certificate of authentication executed on behalf of the Trustee by an authenticating agent shall be deemed to satisfy any requirement hereunder or in the Notes for the Trustee’s certificate of authentication. Such authenticating agent shall at all times be a Person eligible to serve as trustee hereunder pursuant to Section 7.08.</w:t>
      </w:r>
    </w:p>
    <w:p>
      <w:pPr>
        <w:spacing w:after="0" w:line="187" w:lineRule="exact"/>
        <w:rPr>
          <w:sz w:val="20"/>
          <w:szCs w:val="20"/>
          <w:color w:val="auto"/>
        </w:rPr>
      </w:pPr>
    </w:p>
    <w:p>
      <w:pPr>
        <w:ind w:right="20" w:firstLine="440"/>
        <w:spacing w:after="0" w:line="258" w:lineRule="auto"/>
        <w:rPr>
          <w:sz w:val="20"/>
          <w:szCs w:val="20"/>
          <w:color w:val="auto"/>
        </w:rPr>
      </w:pPr>
      <w:r>
        <w:rPr>
          <w:rFonts w:ascii="Times New Roman" w:cs="Times New Roman" w:eastAsia="Times New Roman" w:hAnsi="Times New Roman"/>
          <w:sz w:val="18"/>
          <w:szCs w:val="18"/>
          <w:color w:val="auto"/>
        </w:rPr>
        <w:t>Any corporation or other entity into which any authenticating agent may be merged or converted or with which it may be consolidated, or any corporation or other entity resulting from any merger, consolidation or conversion to which any authenticating agent shall be a party, or any corporation or other entity succeeding to the corporate trust business of any authenticating agent, shall be the successor of the authenticating agent hereunder, if such successor corporation or other entity is otherwise eligible under this Section 17.10, without the execution or filing of any paper or any further act on the part of the parties hereto or the authenticating agent or such successor corporation or other entity.</w:t>
      </w:r>
    </w:p>
    <w:p>
      <w:pPr>
        <w:spacing w:after="0" w:line="183" w:lineRule="exact"/>
        <w:rPr>
          <w:sz w:val="20"/>
          <w:szCs w:val="20"/>
          <w:color w:val="auto"/>
        </w:rPr>
      </w:pPr>
    </w:p>
    <w:p>
      <w:pPr>
        <w:ind w:right="160" w:firstLine="440"/>
        <w:spacing w:after="0" w:line="258" w:lineRule="auto"/>
        <w:rPr>
          <w:sz w:val="20"/>
          <w:szCs w:val="20"/>
          <w:color w:val="auto"/>
        </w:rPr>
      </w:pPr>
      <w:r>
        <w:rPr>
          <w:rFonts w:ascii="Times New Roman" w:cs="Times New Roman" w:eastAsia="Times New Roman" w:hAnsi="Times New Roman"/>
          <w:sz w:val="18"/>
          <w:szCs w:val="18"/>
          <w:color w:val="auto"/>
        </w:rPr>
        <w:t>Any authenticating agent may at any time resign by giving written notice of resignation to the Trustee and to the Company. The Trustee may at any time terminate the agency of any authenticating agent by giving written notice of termination to such authenticating agent and to the Company. Upon receiving such a notice of resignation or upon such a termination, or in case at any time any authenticating agent shall cease to be eligible under this Section, the Trustee may appoint a successor authenticating agent (which may be the Trustee), shall give written notice of such appointment to the Company and shall deliver notice of such appointment to all Holders.</w:t>
      </w:r>
    </w:p>
    <w:p>
      <w:pPr>
        <w:spacing w:after="0" w:line="183" w:lineRule="exact"/>
        <w:rPr>
          <w:sz w:val="20"/>
          <w:szCs w:val="20"/>
          <w:color w:val="auto"/>
        </w:rPr>
      </w:pPr>
    </w:p>
    <w:p>
      <w:pPr>
        <w:ind w:right="300" w:firstLine="440"/>
        <w:spacing w:after="0" w:line="282" w:lineRule="auto"/>
        <w:rPr>
          <w:sz w:val="20"/>
          <w:szCs w:val="20"/>
          <w:color w:val="auto"/>
        </w:rPr>
      </w:pPr>
      <w:r>
        <w:rPr>
          <w:rFonts w:ascii="Times New Roman" w:cs="Times New Roman" w:eastAsia="Times New Roman" w:hAnsi="Times New Roman"/>
          <w:sz w:val="18"/>
          <w:szCs w:val="18"/>
          <w:color w:val="auto"/>
        </w:rPr>
        <w:t>The Company agrees to pay to the authenticating agent from time to time reasonable compensation for its services although the Company may terminate the authenticating agent, if it determines such agent’s fees to be unreasonable.</w:t>
      </w:r>
    </w:p>
    <w:p>
      <w:pPr>
        <w:spacing w:after="0" w:line="162"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The provisions of Section 7.02, Section 7.03, Section 7.04, Section 8.03 and this Section 17.10 shall be applicable to any authenticating agent.</w:t>
      </w:r>
    </w:p>
    <w:p>
      <w:pPr>
        <w:spacing w:after="0" w:line="200" w:lineRule="exact"/>
        <w:rPr>
          <w:sz w:val="20"/>
          <w:szCs w:val="20"/>
          <w:color w:val="auto"/>
        </w:rPr>
      </w:pPr>
    </w:p>
    <w:p>
      <w:pPr>
        <w:spacing w:after="0" w:line="201"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94</w:t>
      </w:r>
    </w:p>
    <w:p>
      <w:pPr>
        <w:sectPr>
          <w:pgSz w:w="11900" w:h="16838" w:orient="portrait"/>
          <w:cols w:equalWidth="0" w:num="1">
            <w:col w:w="11000"/>
          </w:cols>
          <w:pgMar w:left="440" w:top="268" w:right="459" w:bottom="1440" w:gutter="0" w:footer="0" w:header="0"/>
        </w:sectPr>
      </w:pPr>
    </w:p>
    <w:bookmarkStart w:id="105" w:name="page106"/>
    <w:bookmarkEnd w:id="105"/>
    <w:p>
      <w:pPr>
        <w:ind w:right="80" w:firstLine="440"/>
        <w:spacing w:after="0" w:line="28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30">
                      <a:extLst>
                        <a:ext uri="{28A0092B-C50C-407E-A947-70E740481C1C}"/>
                      </a:extLst>
                    </a:blip>
                    <a:srcRect/>
                    <a:stretch>
                      <a:fillRect/>
                    </a:stretch>
                  </pic:blipFill>
                  <pic:spPr bwMode="auto">
                    <a:xfrm>
                      <a:off x="0" y="0"/>
                      <a:ext cx="7174865" cy="38100"/>
                    </a:xfrm>
                    <a:prstGeom prst="rect">
                      <a:avLst/>
                    </a:prstGeom>
                    <a:noFill/>
                  </pic:spPr>
                </pic:pic>
              </a:graphicData>
            </a:graphic>
          </wp:anchor>
        </w:drawing>
        <w:t>If an authenticating agent is appointed pursuant to this Section 17.10, the Notes may have endorsed thereon, in addition to the Trustee’s certificate of authentication, an alternative certificate of authentication in the following form:</w:t>
      </w:r>
    </w:p>
    <w:p>
      <w:pPr>
        <w:spacing w:after="0" w:line="16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__________________________,</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as Authenticating Agent, certifies that this is one of the Notes described in the within-named Indenture.</w:t>
      </w: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By: ____________________</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Authorized Officer</w:t>
      </w:r>
    </w:p>
    <w:p>
      <w:pPr>
        <w:spacing w:after="0" w:line="205" w:lineRule="exact"/>
        <w:rPr>
          <w:sz w:val="20"/>
          <w:szCs w:val="20"/>
          <w:color w:val="auto"/>
        </w:rPr>
      </w:pPr>
    </w:p>
    <w:p>
      <w:pPr>
        <w:ind w:right="40" w:firstLine="440"/>
        <w:spacing w:after="0" w:line="258" w:lineRule="auto"/>
        <w:rPr>
          <w:sz w:val="20"/>
          <w:szCs w:val="20"/>
          <w:color w:val="auto"/>
        </w:rPr>
      </w:pPr>
      <w:r>
        <w:rPr>
          <w:rFonts w:ascii="Times New Roman" w:cs="Times New Roman" w:eastAsia="Times New Roman" w:hAnsi="Times New Roman"/>
          <w:sz w:val="18"/>
          <w:szCs w:val="18"/>
          <w:color w:val="auto"/>
        </w:rPr>
        <w:t>Section 17.11</w:t>
      </w:r>
      <w:r>
        <w:rPr>
          <w:rFonts w:ascii="Times New Roman" w:cs="Times New Roman" w:eastAsia="Times New Roman" w:hAnsi="Times New Roman"/>
          <w:sz w:val="18"/>
          <w:szCs w:val="18"/>
          <w:i w:val="1"/>
          <w:iCs w:val="1"/>
          <w:color w:val="auto"/>
        </w:rPr>
        <w:t>. Execution in Counterparts.</w:t>
      </w:r>
      <w:r>
        <w:rPr>
          <w:rFonts w:ascii="Times New Roman" w:cs="Times New Roman" w:eastAsia="Times New Roman" w:hAnsi="Times New Roman"/>
          <w:sz w:val="18"/>
          <w:szCs w:val="18"/>
          <w:color w:val="auto"/>
        </w:rPr>
        <w:t xml:space="preserve"> This Indenture may be executed in any number of counterparts, each of which shall be an original, but such counterparts shall together constitute but one and the same instrument. The exchange of copies of this Indenture and of signature pages by facsimile or PDF transmission shall constitute effective execution and delivery of this Indenture as to the parties hereto and may be used in lieu of the original Indenture for all purposes. Signatures of the parties hereto transmitted by facsimile or PDF shall be deemed to be their original signatures for all purposes.</w:t>
      </w:r>
    </w:p>
    <w:p>
      <w:pPr>
        <w:spacing w:after="0" w:line="183" w:lineRule="exact"/>
        <w:rPr>
          <w:sz w:val="20"/>
          <w:szCs w:val="20"/>
          <w:color w:val="auto"/>
        </w:rPr>
      </w:pPr>
    </w:p>
    <w:p>
      <w:pPr>
        <w:ind w:right="500" w:firstLine="440"/>
        <w:spacing w:after="0" w:line="284" w:lineRule="auto"/>
        <w:rPr>
          <w:sz w:val="20"/>
          <w:szCs w:val="20"/>
          <w:color w:val="auto"/>
        </w:rPr>
      </w:pPr>
      <w:r>
        <w:rPr>
          <w:rFonts w:ascii="Times New Roman" w:cs="Times New Roman" w:eastAsia="Times New Roman" w:hAnsi="Times New Roman"/>
          <w:sz w:val="18"/>
          <w:szCs w:val="18"/>
          <w:color w:val="auto"/>
        </w:rPr>
        <w:t>Section 17.12</w:t>
      </w:r>
      <w:r>
        <w:rPr>
          <w:rFonts w:ascii="Times New Roman" w:cs="Times New Roman" w:eastAsia="Times New Roman" w:hAnsi="Times New Roman"/>
          <w:sz w:val="18"/>
          <w:szCs w:val="18"/>
          <w:i w:val="1"/>
          <w:iCs w:val="1"/>
          <w:color w:val="auto"/>
        </w:rPr>
        <w:t>. Severability.</w:t>
      </w:r>
      <w:r>
        <w:rPr>
          <w:rFonts w:ascii="Times New Roman" w:cs="Times New Roman" w:eastAsia="Times New Roman" w:hAnsi="Times New Roman"/>
          <w:sz w:val="18"/>
          <w:szCs w:val="18"/>
          <w:color w:val="auto"/>
        </w:rPr>
        <w:t xml:space="preserve"> In the event any provision of this Indenture or in the Notes shall be invalid, illegal or unenforceable, then (to the extent permitted by law) the validity, legality or enforceability of the remaining provisions shall not in any way be affected or impaired.</w:t>
      </w:r>
    </w:p>
    <w:p>
      <w:pPr>
        <w:spacing w:after="0" w:line="158" w:lineRule="exact"/>
        <w:rPr>
          <w:sz w:val="20"/>
          <w:szCs w:val="20"/>
          <w:color w:val="auto"/>
        </w:rPr>
      </w:pPr>
    </w:p>
    <w:p>
      <w:pPr>
        <w:ind w:right="580" w:firstLine="440"/>
        <w:spacing w:after="0" w:line="290" w:lineRule="auto"/>
        <w:rPr>
          <w:sz w:val="20"/>
          <w:szCs w:val="20"/>
          <w:color w:val="auto"/>
        </w:rPr>
      </w:pPr>
      <w:r>
        <w:rPr>
          <w:rFonts w:ascii="Times New Roman" w:cs="Times New Roman" w:eastAsia="Times New Roman" w:hAnsi="Times New Roman"/>
          <w:sz w:val="17"/>
          <w:szCs w:val="17"/>
          <w:color w:val="auto"/>
        </w:rPr>
        <w:t>Section 17.13</w:t>
      </w:r>
      <w:r>
        <w:rPr>
          <w:rFonts w:ascii="Times New Roman" w:cs="Times New Roman" w:eastAsia="Times New Roman" w:hAnsi="Times New Roman"/>
          <w:sz w:val="17"/>
          <w:szCs w:val="17"/>
          <w:i w:val="1"/>
          <w:iCs w:val="1"/>
          <w:color w:val="auto"/>
        </w:rPr>
        <w:t>. Waiver of Jury Trial.</w:t>
      </w:r>
      <w:r>
        <w:rPr>
          <w:rFonts w:ascii="Times New Roman" w:cs="Times New Roman" w:eastAsia="Times New Roman" w:hAnsi="Times New Roman"/>
          <w:sz w:val="17"/>
          <w:szCs w:val="17"/>
          <w:color w:val="auto"/>
        </w:rPr>
        <w:t xml:space="preserve"> EACH OF THE COMPANY AND THE TRUSTEE HEREBY IRREVOCABLY WAIVES, TO THE FULLEST EXTENT PERMITTED BY APPLICABLE LAW, ANY AND ALL RIGHT TO TRIAL BY JURY IN ANY LEGAL PROCEEDING ARISING OUT OF OR RELATING TO THIS INDENTURE, THE NOTES OR THE TRANSACTIONS CONTEMPLATED HEREBY.</w:t>
      </w:r>
    </w:p>
    <w:p>
      <w:pPr>
        <w:spacing w:after="0" w:line="155" w:lineRule="exact"/>
        <w:rPr>
          <w:sz w:val="20"/>
          <w:szCs w:val="20"/>
          <w:color w:val="auto"/>
        </w:rPr>
      </w:pPr>
    </w:p>
    <w:p>
      <w:pPr>
        <w:jc w:val="both"/>
        <w:ind w:right="120" w:firstLine="440"/>
        <w:spacing w:after="0" w:line="258" w:lineRule="auto"/>
        <w:rPr>
          <w:sz w:val="20"/>
          <w:szCs w:val="20"/>
          <w:color w:val="auto"/>
        </w:rPr>
      </w:pPr>
      <w:r>
        <w:rPr>
          <w:rFonts w:ascii="Times New Roman" w:cs="Times New Roman" w:eastAsia="Times New Roman" w:hAnsi="Times New Roman"/>
          <w:sz w:val="18"/>
          <w:szCs w:val="18"/>
          <w:color w:val="auto"/>
        </w:rPr>
        <w:t>Section 17.14</w:t>
      </w:r>
      <w:r>
        <w:rPr>
          <w:rFonts w:ascii="Times New Roman" w:cs="Times New Roman" w:eastAsia="Times New Roman" w:hAnsi="Times New Roman"/>
          <w:sz w:val="18"/>
          <w:szCs w:val="18"/>
          <w:i w:val="1"/>
          <w:iCs w:val="1"/>
          <w:color w:val="auto"/>
        </w:rPr>
        <w:t>. Force Majeure.</w:t>
      </w:r>
      <w:r>
        <w:rPr>
          <w:rFonts w:ascii="Times New Roman" w:cs="Times New Roman" w:eastAsia="Times New Roman" w:hAnsi="Times New Roman"/>
          <w:sz w:val="18"/>
          <w:szCs w:val="18"/>
          <w:color w:val="auto"/>
        </w:rPr>
        <w:t xml:space="preserve"> In no event shall the Trustee be responsible or liable for any failure or delay in the performance of its obligations hereunder arising out of or caused by, directly or indirectly, forces beyond its control, including, without limitation, strikes, work stoppages, accidents, acts of war or terrorism, civil or military disturbances, nuclear or natural catastrophes or acts of God, and interruptions, loss or malfunctions of utilities, communications or computer (software and hardware) services; it being understood that the Trustee shall use reasonable efforts that are consistent with accepted practices in the banking industry to resume performance as soon as practicable under the circumstances.</w:t>
      </w:r>
    </w:p>
    <w:p>
      <w:pPr>
        <w:spacing w:after="0" w:line="183" w:lineRule="exact"/>
        <w:rPr>
          <w:sz w:val="20"/>
          <w:szCs w:val="20"/>
          <w:color w:val="auto"/>
        </w:rPr>
      </w:pPr>
    </w:p>
    <w:p>
      <w:pPr>
        <w:ind w:firstLine="440"/>
        <w:spacing w:after="0" w:line="257" w:lineRule="auto"/>
        <w:rPr>
          <w:sz w:val="20"/>
          <w:szCs w:val="20"/>
          <w:color w:val="auto"/>
        </w:rPr>
      </w:pPr>
      <w:r>
        <w:rPr>
          <w:rFonts w:ascii="Times New Roman" w:cs="Times New Roman" w:eastAsia="Times New Roman" w:hAnsi="Times New Roman"/>
          <w:sz w:val="18"/>
          <w:szCs w:val="18"/>
          <w:color w:val="auto"/>
        </w:rPr>
        <w:t>Section 17.15</w:t>
      </w:r>
      <w:r>
        <w:rPr>
          <w:rFonts w:ascii="Times New Roman" w:cs="Times New Roman" w:eastAsia="Times New Roman" w:hAnsi="Times New Roman"/>
          <w:sz w:val="18"/>
          <w:szCs w:val="18"/>
          <w:i w:val="1"/>
          <w:iCs w:val="1"/>
          <w:color w:val="auto"/>
        </w:rPr>
        <w:t>. Calculations</w:t>
      </w:r>
      <w:r>
        <w:rPr>
          <w:rFonts w:ascii="Times New Roman" w:cs="Times New Roman" w:eastAsia="Times New Roman" w:hAnsi="Times New Roman"/>
          <w:sz w:val="18"/>
          <w:szCs w:val="18"/>
          <w:color w:val="auto"/>
        </w:rPr>
        <w:t>. Except as otherwise provided herein, the Company shall be responsible for making all calculations called for under the Notes. These calculations include, but are not limited to, determinations of the Trading Price, the Last Reported Sale Prices of the Common Stock, the Daily VWAPs, the Daily Conversion Values, the Daily Settlement Amounts, accrued interest payable on the Notes and the Conversion Rate. The Company shall make all these calculations in good faith and, absent manifest error, the Company’s calculations shall be final and binding on Holders of Notes, the Trustee and the Conversion Agent. The Company shall provide a schedule of its calculations to each of the Trustee and the Conversion Agent, and</w:t>
      </w:r>
    </w:p>
    <w:p>
      <w:pPr>
        <w:spacing w:after="0" w:line="11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95</w:t>
      </w:r>
    </w:p>
    <w:p>
      <w:pPr>
        <w:sectPr>
          <w:pgSz w:w="11900" w:h="16838" w:orient="portrait"/>
          <w:cols w:equalWidth="0" w:num="1">
            <w:col w:w="11020"/>
          </w:cols>
          <w:pgMar w:left="440" w:top="270" w:right="439" w:bottom="1440" w:gutter="0" w:footer="0" w:header="0"/>
        </w:sectPr>
      </w:pPr>
    </w:p>
    <w:bookmarkStart w:id="106" w:name="page107"/>
    <w:bookmarkEnd w:id="106"/>
    <w:p>
      <w:pPr>
        <w:jc w:val="both"/>
        <w:ind w:right="660"/>
        <w:spacing w:after="0" w:line="289" w:lineRule="auto"/>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each of the Trustee and Conversion Agent is entitled to rely conclusively upon the accuracy of the Company’s calculations without independent verification (and neither the Trustee nor the Conversion Agent shall have any responsibility for such calculations). The Trustee will forward the Company’s calculations to any Holder of Notes upon the written request of that Holder at the sole cost and expense of the Company.</w:t>
      </w:r>
    </w:p>
    <w:p>
      <w:pPr>
        <w:spacing w:after="0" w:line="156" w:lineRule="exact"/>
        <w:rPr>
          <w:sz w:val="20"/>
          <w:szCs w:val="20"/>
          <w:color w:val="auto"/>
        </w:rPr>
      </w:pPr>
    </w:p>
    <w:p>
      <w:pPr>
        <w:ind w:firstLine="440"/>
        <w:spacing w:after="0" w:line="258" w:lineRule="auto"/>
        <w:rPr>
          <w:sz w:val="20"/>
          <w:szCs w:val="20"/>
          <w:color w:val="auto"/>
        </w:rPr>
      </w:pPr>
      <w:r>
        <w:rPr>
          <w:rFonts w:ascii="Times New Roman" w:cs="Times New Roman" w:eastAsia="Times New Roman" w:hAnsi="Times New Roman"/>
          <w:sz w:val="18"/>
          <w:szCs w:val="18"/>
          <w:color w:val="auto"/>
        </w:rPr>
        <w:t xml:space="preserve">Section 17.16. </w:t>
      </w:r>
      <w:r>
        <w:rPr>
          <w:rFonts w:ascii="Times New Roman" w:cs="Times New Roman" w:eastAsia="Times New Roman" w:hAnsi="Times New Roman"/>
          <w:sz w:val="18"/>
          <w:szCs w:val="18"/>
          <w:i w:val="1"/>
          <w:iCs w:val="1"/>
          <w:color w:val="auto"/>
        </w:rPr>
        <w:t>USA PATRIOT Act.</w:t>
      </w:r>
      <w:r>
        <w:rPr>
          <w:rFonts w:ascii="Times New Roman" w:cs="Times New Roman" w:eastAsia="Times New Roman" w:hAnsi="Times New Roman"/>
          <w:sz w:val="18"/>
          <w:szCs w:val="18"/>
          <w:color w:val="auto"/>
        </w:rPr>
        <w:t xml:space="preserve"> The parties hereto acknowledge that in accordance with Section 326 of the USA PATRIOT Act, the Trustee, like all financial institutions and in order to help fight the funding of terrorism and money laundering, is required to obtain, verify, and record information that identifies each person or legal entity that establishes a relationship or opens an account with the Trustee. The parties to this Indenture agree that they will provide the Trustee with such information as it may request in order for the Trustee to satisfy the requirements of the USA PATRIOT Act.</w:t>
      </w:r>
    </w:p>
    <w:p>
      <w:pPr>
        <w:spacing w:after="0" w:line="183" w:lineRule="exact"/>
        <w:rPr>
          <w:sz w:val="20"/>
          <w:szCs w:val="20"/>
          <w:color w:val="auto"/>
        </w:rPr>
      </w:pPr>
    </w:p>
    <w:p>
      <w:pPr>
        <w:ind w:firstLine="440"/>
        <w:spacing w:after="0" w:line="256" w:lineRule="auto"/>
        <w:rPr>
          <w:sz w:val="20"/>
          <w:szCs w:val="20"/>
          <w:color w:val="auto"/>
        </w:rPr>
      </w:pPr>
      <w:r>
        <w:rPr>
          <w:rFonts w:ascii="Times New Roman" w:cs="Times New Roman" w:eastAsia="Times New Roman" w:hAnsi="Times New Roman"/>
          <w:sz w:val="18"/>
          <w:szCs w:val="18"/>
          <w:color w:val="auto"/>
        </w:rPr>
        <w:t>Section 17.17</w:t>
      </w:r>
      <w:r>
        <w:rPr>
          <w:rFonts w:ascii="Times New Roman" w:cs="Times New Roman" w:eastAsia="Times New Roman" w:hAnsi="Times New Roman"/>
          <w:sz w:val="18"/>
          <w:szCs w:val="18"/>
          <w:i w:val="1"/>
          <w:iCs w:val="1"/>
          <w:color w:val="auto"/>
        </w:rPr>
        <w:t>. Tax Withholding.</w:t>
      </w:r>
      <w:r>
        <w:rPr>
          <w:rFonts w:ascii="Times New Roman" w:cs="Times New Roman" w:eastAsia="Times New Roman" w:hAnsi="Times New Roman"/>
          <w:sz w:val="18"/>
          <w:szCs w:val="18"/>
          <w:color w:val="auto"/>
        </w:rPr>
        <w:t xml:space="preserve"> The Company or the Trustee, as the case may be, shall be entitled to make a deduction or withholding from any payment which it makes under this Indenture for or on account of any present or future taxes, duties or charges if and to the extent so required by any applicable law and any current or future regulations or agreements thereunder or official interpretations thereof or any law implementing an intergovernmental approach thereto or by virtue of the relevant Holder failing to satisfy any certification or other requirements in respect of the Notes, in which event the Company or the Trustee, as the case may be, shall make such payment after such withholding or deduction has been made and shall account to the relevant authorities for the amount so withheld or deducted and shall have no obligation to gross up any payment hereunder or pay any additional amount as a result of such withholding tax.</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Remainder of page intentionally left blank</w:t>
      </w:r>
      <w:r>
        <w:rPr>
          <w:rFonts w:ascii="Times New Roman" w:cs="Times New Roman" w:eastAsia="Times New Roman" w:hAnsi="Times New Roman"/>
          <w:sz w:val="18"/>
          <w:szCs w:val="18"/>
          <w:color w:val="auto"/>
        </w:rPr>
        <w:t>]</w:t>
      </w:r>
    </w:p>
    <w:p>
      <w:pPr>
        <w:spacing w:after="0" w:line="16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96</w:t>
      </w:r>
    </w:p>
    <w:p>
      <w:pPr>
        <w:sectPr>
          <w:pgSz w:w="11900" w:h="16838" w:orient="portrait"/>
          <w:cols w:equalWidth="0" w:num="1">
            <w:col w:w="11000"/>
          </w:cols>
          <w:pgMar w:left="440" w:top="270" w:right="459" w:bottom="1440" w:gutter="0" w:footer="0" w:header="0"/>
        </w:sectPr>
      </w:pPr>
    </w:p>
    <w:bookmarkStart w:id="107" w:name="page108"/>
    <w:bookmarkEnd w:id="107"/>
    <w:p>
      <w:pPr>
        <w:jc w:val="right"/>
        <w:ind w:right="519"/>
        <w:spacing w:after="0"/>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3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IN WITNESS WHEREOF, the parties hereto have caused this Indenture to be duly executed as of the date first written above.</w:t>
      </w:r>
    </w:p>
    <w:p>
      <w:pPr>
        <w:spacing w:after="0" w:line="264" w:lineRule="exact"/>
        <w:rPr>
          <w:sz w:val="20"/>
          <w:szCs w:val="20"/>
          <w:color w:val="auto"/>
        </w:rPr>
      </w:pPr>
    </w:p>
    <w:p>
      <w:pPr>
        <w:ind w:left="6180"/>
        <w:spacing w:after="0"/>
        <w:rPr>
          <w:sz w:val="20"/>
          <w:szCs w:val="20"/>
          <w:color w:val="auto"/>
        </w:rPr>
      </w:pPr>
      <w:r>
        <w:rPr>
          <w:rFonts w:ascii="Times New Roman" w:cs="Times New Roman" w:eastAsia="Times New Roman" w:hAnsi="Times New Roman"/>
          <w:sz w:val="17"/>
          <w:szCs w:val="17"/>
          <w:color w:val="auto"/>
        </w:rPr>
        <w:t>MICROSTRATEGY INCORPORATED</w:t>
      </w:r>
    </w:p>
    <w:p>
      <w:pPr>
        <w:spacing w:after="0" w:line="237" w:lineRule="exact"/>
        <w:rPr>
          <w:sz w:val="20"/>
          <w:szCs w:val="20"/>
          <w:color w:val="auto"/>
        </w:rPr>
      </w:pPr>
    </w:p>
    <w:p>
      <w:pPr>
        <w:ind w:left="6180"/>
        <w:spacing w:after="0"/>
        <w:rPr>
          <w:sz w:val="20"/>
          <w:szCs w:val="20"/>
          <w:color w:val="auto"/>
        </w:rPr>
      </w:pPr>
      <w:r>
        <w:rPr>
          <w:rFonts w:ascii="Times New Roman" w:cs="Times New Roman" w:eastAsia="Times New Roman" w:hAnsi="Times New Roman"/>
          <w:sz w:val="18"/>
          <w:szCs w:val="18"/>
          <w:color w:val="auto"/>
        </w:rPr>
        <w:t>By: /s/ Andrew Kang</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4149725</wp:posOffset>
            </wp:positionH>
            <wp:positionV relativeFrom="paragraph">
              <wp:posOffset>17145</wp:posOffset>
            </wp:positionV>
            <wp:extent cx="2562860" cy="8255"/>
            <wp:wrapNone/>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33">
                      <a:extLst>
                        <a:ext uri="{28A0092B-C50C-407E-A947-70E740481C1C}"/>
                      </a:extLst>
                    </a:blip>
                    <a:srcRect/>
                    <a:stretch>
                      <a:fillRect/>
                    </a:stretch>
                  </pic:blipFill>
                  <pic:spPr bwMode="auto">
                    <a:xfrm>
                      <a:off x="0" y="0"/>
                      <a:ext cx="2562860" cy="8255"/>
                    </a:xfrm>
                    <a:prstGeom prst="rect">
                      <a:avLst/>
                    </a:prstGeom>
                    <a:noFill/>
                  </pic:spPr>
                </pic:pic>
              </a:graphicData>
            </a:graphic>
          </wp:anchor>
        </w:drawing>
      </w:r>
    </w:p>
    <w:p>
      <w:pPr>
        <w:spacing w:after="0" w:line="16" w:lineRule="exact"/>
        <w:rPr>
          <w:sz w:val="20"/>
          <w:szCs w:val="20"/>
          <w:color w:val="auto"/>
        </w:rPr>
      </w:pPr>
    </w:p>
    <w:p>
      <w:pPr>
        <w:ind w:left="6540"/>
        <w:spacing w:after="0"/>
        <w:rPr>
          <w:sz w:val="20"/>
          <w:szCs w:val="20"/>
          <w:color w:val="auto"/>
        </w:rPr>
      </w:pPr>
      <w:r>
        <w:rPr>
          <w:rFonts w:ascii="Times New Roman" w:cs="Times New Roman" w:eastAsia="Times New Roman" w:hAnsi="Times New Roman"/>
          <w:sz w:val="18"/>
          <w:szCs w:val="18"/>
          <w:color w:val="auto"/>
        </w:rPr>
        <w:t>Name:Andrew Kang</w:t>
      </w:r>
    </w:p>
    <w:p>
      <w:pPr>
        <w:spacing w:after="0" w:line="27" w:lineRule="exact"/>
        <w:rPr>
          <w:sz w:val="20"/>
          <w:szCs w:val="20"/>
          <w:color w:val="auto"/>
        </w:rPr>
      </w:pPr>
    </w:p>
    <w:p>
      <w:pPr>
        <w:ind w:left="6540"/>
        <w:spacing w:after="0"/>
        <w:rPr>
          <w:sz w:val="20"/>
          <w:szCs w:val="20"/>
          <w:color w:val="auto"/>
        </w:rPr>
      </w:pPr>
      <w:r>
        <w:rPr>
          <w:rFonts w:ascii="Times New Roman" w:cs="Times New Roman" w:eastAsia="Times New Roman" w:hAnsi="Times New Roman"/>
          <w:sz w:val="18"/>
          <w:szCs w:val="18"/>
          <w:color w:val="auto"/>
        </w:rPr>
        <w:t>Title: Senior Executive Vice</w:t>
      </w:r>
    </w:p>
    <w:p>
      <w:pPr>
        <w:spacing w:after="0" w:line="9" w:lineRule="exact"/>
        <w:rPr>
          <w:sz w:val="20"/>
          <w:szCs w:val="20"/>
          <w:color w:val="auto"/>
        </w:rPr>
      </w:pPr>
    </w:p>
    <w:p>
      <w:pPr>
        <w:ind w:left="6540"/>
        <w:spacing w:after="0"/>
        <w:rPr>
          <w:sz w:val="20"/>
          <w:szCs w:val="20"/>
          <w:color w:val="auto"/>
        </w:rPr>
      </w:pPr>
      <w:r>
        <w:rPr>
          <w:rFonts w:ascii="Times New Roman" w:cs="Times New Roman" w:eastAsia="Times New Roman" w:hAnsi="Times New Roman"/>
          <w:sz w:val="18"/>
          <w:szCs w:val="18"/>
          <w:color w:val="auto"/>
        </w:rPr>
        <w:t>        President and Chief</w:t>
      </w:r>
    </w:p>
    <w:p>
      <w:pPr>
        <w:spacing w:after="0" w:line="9" w:lineRule="exact"/>
        <w:rPr>
          <w:sz w:val="20"/>
          <w:szCs w:val="20"/>
          <w:color w:val="auto"/>
        </w:rPr>
      </w:pPr>
    </w:p>
    <w:p>
      <w:pPr>
        <w:ind w:left="6540"/>
        <w:spacing w:after="0"/>
        <w:rPr>
          <w:sz w:val="20"/>
          <w:szCs w:val="20"/>
          <w:color w:val="auto"/>
        </w:rPr>
      </w:pPr>
      <w:r>
        <w:rPr>
          <w:rFonts w:ascii="Times New Roman" w:cs="Times New Roman" w:eastAsia="Times New Roman" w:hAnsi="Times New Roman"/>
          <w:sz w:val="18"/>
          <w:szCs w:val="18"/>
          <w:color w:val="auto"/>
        </w:rPr>
        <w:t>        Financial Officer</w:t>
      </w:r>
    </w:p>
    <w:p>
      <w:pPr>
        <w:spacing w:after="0" w:line="218" w:lineRule="exact"/>
        <w:rPr>
          <w:sz w:val="20"/>
          <w:szCs w:val="20"/>
          <w:color w:val="auto"/>
        </w:rPr>
      </w:pPr>
    </w:p>
    <w:p>
      <w:pPr>
        <w:ind w:left="398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Signature Page to Indenture</w:t>
      </w:r>
      <w:r>
        <w:rPr>
          <w:rFonts w:ascii="Times New Roman" w:cs="Times New Roman" w:eastAsia="Times New Roman" w:hAnsi="Times New Roman"/>
          <w:sz w:val="18"/>
          <w:szCs w:val="18"/>
          <w:color w:val="auto"/>
        </w:rPr>
        <w:t>]</w:t>
      </w:r>
    </w:p>
    <w:p>
      <w:pPr>
        <w:sectPr>
          <w:pgSz w:w="11900" w:h="16838" w:orient="portrait"/>
          <w:cols w:equalWidth="0" w:num="1">
            <w:col w:w="9579"/>
          </w:cols>
          <w:pgMar w:left="880" w:top="270" w:right="1440" w:bottom="1440" w:gutter="0" w:footer="0" w:header="0"/>
        </w:sectPr>
      </w:pPr>
    </w:p>
    <w:bookmarkStart w:id="108" w:name="page109"/>
    <w:bookmarkEnd w:id="108"/>
    <w:p>
      <w:pPr>
        <w:ind w:left="5620"/>
        <w:spacing w:after="0"/>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3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U.S. BANK TRUST COMPANY, NATIONAL</w:t>
      </w:r>
    </w:p>
    <w:p>
      <w:pPr>
        <w:spacing w:after="0" w:line="39" w:lineRule="exact"/>
        <w:rPr>
          <w:sz w:val="20"/>
          <w:szCs w:val="20"/>
          <w:color w:val="auto"/>
        </w:rPr>
      </w:pPr>
    </w:p>
    <w:p>
      <w:pPr>
        <w:ind w:left="5620"/>
        <w:spacing w:after="0"/>
        <w:rPr>
          <w:sz w:val="20"/>
          <w:szCs w:val="20"/>
          <w:color w:val="auto"/>
        </w:rPr>
      </w:pPr>
      <w:r>
        <w:rPr>
          <w:rFonts w:ascii="Times New Roman" w:cs="Times New Roman" w:eastAsia="Times New Roman" w:hAnsi="Times New Roman"/>
          <w:sz w:val="18"/>
          <w:szCs w:val="18"/>
          <w:color w:val="auto"/>
        </w:rPr>
        <w:t>ASSOCIATION, as Trustee</w:t>
      </w:r>
    </w:p>
    <w:p>
      <w:pPr>
        <w:spacing w:after="0" w:line="207" w:lineRule="exact"/>
        <w:rPr>
          <w:sz w:val="20"/>
          <w:szCs w:val="20"/>
          <w:color w:val="auto"/>
        </w:rPr>
      </w:pPr>
    </w:p>
    <w:p>
      <w:pPr>
        <w:ind w:left="5620"/>
        <w:spacing w:after="0"/>
        <w:rPr>
          <w:sz w:val="20"/>
          <w:szCs w:val="20"/>
          <w:color w:val="auto"/>
        </w:rPr>
      </w:pPr>
      <w:r>
        <w:rPr>
          <w:rFonts w:ascii="Times New Roman" w:cs="Times New Roman" w:eastAsia="Times New Roman" w:hAnsi="Times New Roman"/>
          <w:sz w:val="18"/>
          <w:szCs w:val="18"/>
          <w:color w:val="auto"/>
        </w:rPr>
        <w:t>By: /s/ Benjamin Krueger</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3794125</wp:posOffset>
            </wp:positionH>
            <wp:positionV relativeFrom="paragraph">
              <wp:posOffset>17145</wp:posOffset>
            </wp:positionV>
            <wp:extent cx="2562860" cy="8890"/>
            <wp:wrapNone/>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35">
                      <a:extLst>
                        <a:ext uri="{28A0092B-C50C-407E-A947-70E740481C1C}"/>
                      </a:extLst>
                    </a:blip>
                    <a:srcRect/>
                    <a:stretch>
                      <a:fillRect/>
                    </a:stretch>
                  </pic:blipFill>
                  <pic:spPr bwMode="auto">
                    <a:xfrm>
                      <a:off x="0" y="0"/>
                      <a:ext cx="2562860" cy="8890"/>
                    </a:xfrm>
                    <a:prstGeom prst="rect">
                      <a:avLst/>
                    </a:prstGeom>
                    <a:noFill/>
                  </pic:spPr>
                </pic:pic>
              </a:graphicData>
            </a:graphic>
          </wp:anchor>
        </w:drawing>
      </w:r>
    </w:p>
    <w:p>
      <w:pPr>
        <w:spacing w:after="0" w:line="16" w:lineRule="exact"/>
        <w:rPr>
          <w:sz w:val="20"/>
          <w:szCs w:val="20"/>
          <w:color w:val="auto"/>
        </w:rPr>
      </w:pPr>
    </w:p>
    <w:p>
      <w:pPr>
        <w:ind w:left="5980"/>
        <w:spacing w:after="0"/>
        <w:rPr>
          <w:sz w:val="20"/>
          <w:szCs w:val="20"/>
          <w:color w:val="auto"/>
        </w:rPr>
      </w:pPr>
      <w:r>
        <w:rPr>
          <w:rFonts w:ascii="Times New Roman" w:cs="Times New Roman" w:eastAsia="Times New Roman" w:hAnsi="Times New Roman"/>
          <w:sz w:val="18"/>
          <w:szCs w:val="18"/>
          <w:color w:val="auto"/>
        </w:rPr>
        <w:t>Name: Benjamin Krueger</w:t>
      </w:r>
    </w:p>
    <w:p>
      <w:pPr>
        <w:spacing w:after="0" w:line="27" w:lineRule="exact"/>
        <w:rPr>
          <w:sz w:val="20"/>
          <w:szCs w:val="20"/>
          <w:color w:val="auto"/>
        </w:rPr>
      </w:pPr>
    </w:p>
    <w:p>
      <w:pPr>
        <w:ind w:left="5980"/>
        <w:spacing w:after="0"/>
        <w:rPr>
          <w:sz w:val="20"/>
          <w:szCs w:val="20"/>
          <w:color w:val="auto"/>
        </w:rPr>
      </w:pPr>
      <w:r>
        <w:rPr>
          <w:rFonts w:ascii="Times New Roman" w:cs="Times New Roman" w:eastAsia="Times New Roman" w:hAnsi="Times New Roman"/>
          <w:sz w:val="18"/>
          <w:szCs w:val="18"/>
          <w:color w:val="auto"/>
        </w:rPr>
        <w:t>Title: Vice President</w:t>
      </w:r>
    </w:p>
    <w:p>
      <w:pPr>
        <w:spacing w:after="0" w:line="205"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i w:val="1"/>
          <w:iCs w:val="1"/>
          <w:color w:val="auto"/>
        </w:rPr>
        <w:t>Signature Page to Indenture</w:t>
      </w:r>
      <w:r>
        <w:rPr>
          <w:rFonts w:ascii="Times New Roman" w:cs="Times New Roman" w:eastAsia="Times New Roman" w:hAnsi="Times New Roman"/>
          <w:sz w:val="17"/>
          <w:szCs w:val="17"/>
          <w:color w:val="auto"/>
        </w:rPr>
        <w:t>]</w:t>
      </w:r>
    </w:p>
    <w:p>
      <w:pPr>
        <w:sectPr>
          <w:pgSz w:w="11900" w:h="16838" w:orient="portrait"/>
          <w:cols w:equalWidth="0" w:num="1">
            <w:col w:w="9019"/>
          </w:cols>
          <w:pgMar w:left="1440" w:top="270" w:right="1440" w:bottom="1440" w:gutter="0" w:footer="0" w:header="0"/>
        </w:sectPr>
      </w:pPr>
    </w:p>
    <w:bookmarkStart w:id="109" w:name="page110"/>
    <w:bookmarkEnd w:id="109"/>
    <w:p>
      <w:pPr>
        <w:jc w:val="right"/>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3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EXHIBIT A</w:t>
      </w:r>
    </w:p>
    <w:p>
      <w:pPr>
        <w:spacing w:after="0" w:line="22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[FORM OF FACE OF NOTE]</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[INCLUDE FOLLOWING LEGEND IF A GLOBAL NOTE]</w:t>
      </w:r>
    </w:p>
    <w:p>
      <w:pPr>
        <w:spacing w:after="0" w:line="225" w:lineRule="exact"/>
        <w:rPr>
          <w:sz w:val="20"/>
          <w:szCs w:val="20"/>
          <w:color w:val="auto"/>
        </w:rPr>
      </w:pPr>
    </w:p>
    <w:p>
      <w:pPr>
        <w:ind w:right="60" w:firstLine="440"/>
        <w:spacing w:after="0" w:line="255" w:lineRule="auto"/>
        <w:rPr>
          <w:sz w:val="20"/>
          <w:szCs w:val="20"/>
          <w:color w:val="auto"/>
        </w:rPr>
      </w:pPr>
      <w:r>
        <w:rPr>
          <w:rFonts w:ascii="Times New Roman" w:cs="Times New Roman" w:eastAsia="Times New Roman" w:hAnsi="Times New Roman"/>
          <w:sz w:val="18"/>
          <w:szCs w:val="18"/>
          <w:color w:val="auto"/>
        </w:rPr>
        <w:t>[UNLESS THIS CERTIFICATE IS PRESENTED BY AN AUTHORIZED REPRESENTATIVE OF THE DEPOSITORY TRUST COMPANY, A NEW YORK CORPORATION (“DTC”), TO THE COMPANY OR ITS AGENT FOR REGISTRATION OF TRANSFER, EXCHANGE, OR PAYMENT, AND ANY CERTIFICATE ISSUED IS REGISTERED IN THE NAME OF CEDE &amp; CO. OR IN SUCH OTHER NAME AS IS REQUESTED BY AN AUTHORIZED REPRESENTATIVE OF DTC (AND ANY PAYMENT HEREUNDER IS MADE TO CEDE &amp; CO. OR TO SUCH OTHER ENTITY AS IS REQUESTED BY AN AUTHORIZED REPRESENTATIVE OF DTC), ANY TRANSFER, PLEDGE, OR OTHER USE HEREOF FOR VALUE OR OTHERWISE BY OR TO ANY PERSON IS WRONGFUL INASMUCH AS THE REGISTERED OWNER HEREOF, CEDE &amp; CO., HAS AN INTEREST HEREIN.]</w:t>
      </w:r>
    </w:p>
    <w:p>
      <w:pPr>
        <w:spacing w:after="0" w:line="189" w:lineRule="exact"/>
        <w:rPr>
          <w:sz w:val="20"/>
          <w:szCs w:val="20"/>
          <w:color w:val="auto"/>
        </w:rPr>
      </w:pPr>
    </w:p>
    <w:p>
      <w:pPr>
        <w:jc w:val="center"/>
        <w:ind w:right="20"/>
        <w:spacing w:after="0"/>
        <w:rPr>
          <w:sz w:val="20"/>
          <w:szCs w:val="20"/>
          <w:color w:val="auto"/>
        </w:rPr>
      </w:pPr>
      <w:r>
        <w:rPr>
          <w:rFonts w:ascii="Times New Roman" w:cs="Times New Roman" w:eastAsia="Times New Roman" w:hAnsi="Times New Roman"/>
          <w:sz w:val="18"/>
          <w:szCs w:val="18"/>
          <w:color w:val="auto"/>
        </w:rPr>
        <w:t>[INCLUDE FOLLOWING LEGEND IF A RESTRICTED SECURITY]</w:t>
      </w:r>
    </w:p>
    <w:p>
      <w:pPr>
        <w:spacing w:after="0" w:line="225" w:lineRule="exact"/>
        <w:rPr>
          <w:sz w:val="20"/>
          <w:szCs w:val="20"/>
          <w:color w:val="auto"/>
        </w:rPr>
      </w:pPr>
    </w:p>
    <w:p>
      <w:pPr>
        <w:ind w:right="240" w:firstLine="440"/>
        <w:spacing w:after="0" w:line="261" w:lineRule="auto"/>
        <w:rPr>
          <w:sz w:val="20"/>
          <w:szCs w:val="20"/>
          <w:color w:val="auto"/>
        </w:rPr>
      </w:pPr>
      <w:r>
        <w:rPr>
          <w:rFonts w:ascii="Times New Roman" w:cs="Times New Roman" w:eastAsia="Times New Roman" w:hAnsi="Times New Roman"/>
          <w:sz w:val="18"/>
          <w:szCs w:val="18"/>
          <w:color w:val="auto"/>
        </w:rPr>
        <w:t>[THIS SECURITY AND THE COMMON STOCK, IF ANY, ISSUABLE UPON CONVERSION OF THIS SECURITY HAVE NOT BEEN REGISTERED UNDER THE SECURITIES ACT OF 1933, AS AMENDED (THE “SECURITIES ACT”), AND MAY NOT BE OFFERED, SOLD, PLEDGED OR OTHERWISE TRANSFERRED EXCEPT IN ACCORDANCE WITH THE FOLLOWING SENTENCE. BY ITS ACQUISITION HEREOF OR OF A BENEFICIAL INTEREST HEREIN, THE ACQUIRER:</w:t>
      </w:r>
    </w:p>
    <w:p>
      <w:pPr>
        <w:spacing w:after="0" w:line="72" w:lineRule="exact"/>
        <w:rPr>
          <w:sz w:val="20"/>
          <w:szCs w:val="20"/>
          <w:color w:val="auto"/>
        </w:rPr>
      </w:pPr>
    </w:p>
    <w:p>
      <w:pPr>
        <w:ind w:left="440" w:right="500" w:firstLine="419"/>
        <w:spacing w:after="0" w:line="266" w:lineRule="auto"/>
        <w:tabs>
          <w:tab w:leader="none" w:pos="1118" w:val="left"/>
        </w:tabs>
        <w:numPr>
          <w:ilvl w:val="0"/>
          <w:numId w:val="10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REPRESENTS THAT IT AND ANY ACCOUNT FOR WHICH IT IS ACTING IS A “QUALIFIED INSTITUTIONAL BUYER” (WITHIN THE MEANING OF RULE 144A UNDER THE SECURITIES ACT) AND THAT IT EXERCISES SOLE INVESTMENT DISCRETION WITH RESPECT TO EACH SUCH ACCOUNT, AND</w:t>
      </w:r>
    </w:p>
    <w:p>
      <w:pPr>
        <w:spacing w:after="0" w:line="67" w:lineRule="exact"/>
        <w:rPr>
          <w:rFonts w:ascii="Times New Roman" w:cs="Times New Roman" w:eastAsia="Times New Roman" w:hAnsi="Times New Roman"/>
          <w:sz w:val="18"/>
          <w:szCs w:val="18"/>
          <w:color w:val="auto"/>
        </w:rPr>
      </w:pPr>
    </w:p>
    <w:p>
      <w:pPr>
        <w:ind w:left="440" w:right="60" w:firstLine="419"/>
        <w:spacing w:after="0" w:line="258" w:lineRule="auto"/>
        <w:tabs>
          <w:tab w:leader="none" w:pos="1118" w:val="left"/>
        </w:tabs>
        <w:numPr>
          <w:ilvl w:val="0"/>
          <w:numId w:val="10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AGREES FOR THE BENEFIT OF MICROSTRATEGY INCORPORATED (THE “COMPANY”) THAT IT WILL NOT OFFER, SELL, PLEDGE OR OTHERWISE TRANSFER THIS SECURITY OR ANY BENEFICIAL INTEREST HEREIN PRIOR TO THE DATE THAT IS THE LATER OF (X) ONE YEAR AFTER THE LAST ORIGINAL ISSUE DATE HEREOF OR SUCH SHORTER PERIOD OF TIME AS PERMITTED BY RULE 144 UNDER THE SECURITIES ACT OR ANY SUCCESSOR PROVISION THERETO AND (Y) SUCH LATER DATE, IF ANY, AS MAY BE REQUIRED BY APPLICABLE LAW, EXCEPT:</w:t>
      </w:r>
    </w:p>
    <w:p>
      <w:pPr>
        <w:spacing w:after="0" w:line="75" w:lineRule="exact"/>
        <w:rPr>
          <w:rFonts w:ascii="Times New Roman" w:cs="Times New Roman" w:eastAsia="Times New Roman" w:hAnsi="Times New Roman"/>
          <w:sz w:val="18"/>
          <w:szCs w:val="18"/>
          <w:color w:val="auto"/>
        </w:rPr>
      </w:pPr>
    </w:p>
    <w:p>
      <w:pPr>
        <w:ind w:left="1680" w:hanging="292"/>
        <w:spacing w:after="0"/>
        <w:tabs>
          <w:tab w:leader="none" w:pos="1680" w:val="left"/>
        </w:tabs>
        <w:numPr>
          <w:ilvl w:val="1"/>
          <w:numId w:val="10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THE COMPANY OR ANY SUBSIDIARY THEREOF, OR</w:t>
      </w:r>
    </w:p>
    <w:p>
      <w:pPr>
        <w:spacing w:after="0" w:line="117" w:lineRule="exact"/>
        <w:rPr>
          <w:rFonts w:ascii="Times New Roman" w:cs="Times New Roman" w:eastAsia="Times New Roman" w:hAnsi="Times New Roman"/>
          <w:sz w:val="18"/>
          <w:szCs w:val="18"/>
          <w:color w:val="auto"/>
        </w:rPr>
      </w:pPr>
    </w:p>
    <w:p>
      <w:pPr>
        <w:ind w:left="1680" w:hanging="292"/>
        <w:spacing w:after="0"/>
        <w:tabs>
          <w:tab w:leader="none" w:pos="1680" w:val="left"/>
        </w:tabs>
        <w:numPr>
          <w:ilvl w:val="1"/>
          <w:numId w:val="10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PURSUANT TO A REGISTRATION STATEMENT WHICH HAS BECOME EFFECTIVE UNDER THE SECURITIES ACT,</w:t>
      </w:r>
    </w:p>
    <w:p>
      <w:pPr>
        <w:spacing w:after="0" w:line="27" w:lineRule="exact"/>
        <w:rPr>
          <w:rFonts w:ascii="Times New Roman" w:cs="Times New Roman" w:eastAsia="Times New Roman" w:hAnsi="Times New Roman"/>
          <w:sz w:val="18"/>
          <w:szCs w:val="18"/>
          <w:color w:val="auto"/>
        </w:rPr>
      </w:pPr>
    </w:p>
    <w:p>
      <w:pPr>
        <w:ind w:left="980"/>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OR</w:t>
      </w:r>
    </w:p>
    <w:p>
      <w:pPr>
        <w:spacing w:after="0" w:line="13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A-1</w:t>
      </w:r>
    </w:p>
    <w:p>
      <w:pPr>
        <w:sectPr>
          <w:pgSz w:w="11900" w:h="16838" w:orient="portrait"/>
          <w:cols w:equalWidth="0" w:num="1">
            <w:col w:w="11020"/>
          </w:cols>
          <w:pgMar w:left="440" w:top="266" w:right="439" w:bottom="1440" w:gutter="0" w:footer="0" w:header="0"/>
        </w:sectPr>
      </w:pPr>
    </w:p>
    <w:bookmarkStart w:id="110" w:name="page111"/>
    <w:bookmarkEnd w:id="110"/>
    <w:p>
      <w:pPr>
        <w:ind w:left="980" w:right="220" w:firstLine="408"/>
        <w:spacing w:after="0" w:line="282" w:lineRule="auto"/>
        <w:tabs>
          <w:tab w:leader="none" w:pos="1666" w:val="left"/>
        </w:tabs>
        <w:numPr>
          <w:ilvl w:val="0"/>
          <w:numId w:val="10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37">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TO A PERSON REASONABLY BELIEVED TO BE A QUALIFIED INSTITUTIONAL BUYER IN COMPLIANCE WITH RULE 144A UNDER THE SECURITIES ACT, OR</w:t>
      </w:r>
    </w:p>
    <w:p>
      <w:pPr>
        <w:spacing w:after="0" w:line="53" w:lineRule="exact"/>
        <w:rPr>
          <w:rFonts w:ascii="Times New Roman" w:cs="Times New Roman" w:eastAsia="Times New Roman" w:hAnsi="Times New Roman"/>
          <w:sz w:val="18"/>
          <w:szCs w:val="18"/>
          <w:color w:val="auto"/>
        </w:rPr>
      </w:pPr>
    </w:p>
    <w:p>
      <w:pPr>
        <w:ind w:left="980" w:right="160" w:firstLine="408"/>
        <w:spacing w:after="0" w:line="282" w:lineRule="auto"/>
        <w:tabs>
          <w:tab w:leader="none" w:pos="1676" w:val="left"/>
        </w:tabs>
        <w:numPr>
          <w:ilvl w:val="0"/>
          <w:numId w:val="10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PURSUANT TO AN EXEMPTION FROM REGISTRATION PROVIDED BY RULE 144 UNDER THE SECURITIES ACT OR ANY OTHER AVAILABLE EXEMPTION FROM THE REGISTRATION REQUIREMENTS OF THE SECURITIES ACT.</w:t>
      </w:r>
    </w:p>
    <w:p>
      <w:pPr>
        <w:spacing w:after="0" w:line="162" w:lineRule="exact"/>
        <w:rPr>
          <w:sz w:val="20"/>
          <w:szCs w:val="20"/>
          <w:color w:val="auto"/>
        </w:rPr>
      </w:pPr>
    </w:p>
    <w:p>
      <w:pPr>
        <w:ind w:firstLine="440"/>
        <w:spacing w:after="0" w:line="258" w:lineRule="auto"/>
        <w:rPr>
          <w:sz w:val="20"/>
          <w:szCs w:val="20"/>
          <w:color w:val="auto"/>
        </w:rPr>
      </w:pPr>
      <w:r>
        <w:rPr>
          <w:rFonts w:ascii="Times New Roman" w:cs="Times New Roman" w:eastAsia="Times New Roman" w:hAnsi="Times New Roman"/>
          <w:sz w:val="18"/>
          <w:szCs w:val="18"/>
          <w:color w:val="auto"/>
        </w:rPr>
        <w:t>PRIOR TO THE REGISTRATION OF ANY TRANSFER IN ACCORDANCE WITH CLAUSE (2)(D) ABOVE, THE COMPANY AND THE TRUSTEE RESERVE THE RIGHT TO REQUIRE THE DELIVERY OF SUCH LEGAL OPINIONS, CERTIFICATIONS OR OTHER EVIDENCE AS MAY REASONABLY BE REQUIRED IN ORDER TO DETERMINE THAT THE PROPOSED TRANSFER IS BEING MADE IN COMPLIANCE WITH THE SECURITIES ACT AND APPLICABLE STATE SECURITIES LAWS. NO REPRESENTATION IS MADE AS TO THE AVAILABILITY OF ANY EXEMPTION FROM THE REGISTRATION REQUIREMENTS OF THE SECURITIES ACT.]</w:t>
      </w:r>
    </w:p>
    <w:p>
      <w:pPr>
        <w:spacing w:after="0" w:line="183" w:lineRule="exact"/>
        <w:rPr>
          <w:sz w:val="20"/>
          <w:szCs w:val="20"/>
          <w:color w:val="auto"/>
        </w:rPr>
      </w:pPr>
    </w:p>
    <w:p>
      <w:pPr>
        <w:ind w:right="40" w:firstLine="440"/>
        <w:spacing w:after="0" w:line="261" w:lineRule="auto"/>
        <w:rPr>
          <w:sz w:val="20"/>
          <w:szCs w:val="20"/>
          <w:color w:val="auto"/>
        </w:rPr>
      </w:pPr>
      <w:r>
        <w:rPr>
          <w:rFonts w:ascii="Times New Roman" w:cs="Times New Roman" w:eastAsia="Times New Roman" w:hAnsi="Times New Roman"/>
          <w:sz w:val="18"/>
          <w:szCs w:val="18"/>
          <w:color w:val="auto"/>
        </w:rPr>
        <w:t>NO AFFILIATE (AS DEFINED IN RULE 144 UNDER THE SECURITIES ACT) OF MICROSTRATEGY INCORPORATED OR PERSON THAT HAS BEEN AN AFFILIATE (AS DEFINED IN RULE 144 UNDER THE SECURITIES ACT) OF MICROSTRATEGY INCORPORATED DURING THE IMMEDIATELY PRECEDING THREE MONTHS MAY PURCHASE, OTHERWISE ACQUIRE OR HOLD THIS SECURITY OR A BENEFICIAL INTEREST HEREIN.</w:t>
      </w:r>
    </w:p>
    <w:p>
      <w:pPr>
        <w:spacing w:after="0" w:line="112" w:lineRule="exact"/>
        <w:rPr>
          <w:sz w:val="20"/>
          <w:szCs w:val="20"/>
          <w:color w:val="auto"/>
        </w:rPr>
      </w:pPr>
    </w:p>
    <w:p>
      <w:pPr>
        <w:jc w:val="center"/>
        <w:ind w:right="-59"/>
        <w:spacing w:after="0"/>
        <w:rPr>
          <w:sz w:val="20"/>
          <w:szCs w:val="20"/>
          <w:color w:val="auto"/>
        </w:rPr>
      </w:pPr>
      <w:r>
        <w:rPr>
          <w:rFonts w:ascii="Times New Roman" w:cs="Times New Roman" w:eastAsia="Times New Roman" w:hAnsi="Times New Roman"/>
          <w:sz w:val="18"/>
          <w:szCs w:val="18"/>
          <w:color w:val="auto"/>
        </w:rPr>
        <w:t>A-2</w:t>
      </w:r>
    </w:p>
    <w:p>
      <w:pPr>
        <w:sectPr>
          <w:pgSz w:w="11900" w:h="16838" w:orient="portrait"/>
          <w:cols w:equalWidth="0" w:num="1">
            <w:col w:w="10960"/>
          </w:cols>
          <w:pgMar w:left="440" w:top="270" w:right="499" w:bottom="1440" w:gutter="0" w:footer="0" w:header="0"/>
        </w:sectPr>
      </w:pPr>
    </w:p>
    <w:bookmarkStart w:id="111" w:name="page112"/>
    <w:bookmarkEnd w:id="111"/>
    <w:p>
      <w:pPr>
        <w:jc w:val="center"/>
        <w:ind w:right="-3"/>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8">
                      <a:extLst>
                        <a:ext uri="{28A0092B-C50C-407E-A947-70E740481C1C}"/>
                      </a:extLst>
                    </a:blip>
                    <a:srcRect/>
                    <a:stretch>
                      <a:fillRect/>
                    </a:stretch>
                  </pic:blipFill>
                  <pic:spPr bwMode="auto">
                    <a:xfrm>
                      <a:off x="0" y="0"/>
                      <a:ext cx="7174865" cy="38100"/>
                    </a:xfrm>
                    <a:prstGeom prst="rect">
                      <a:avLst/>
                    </a:prstGeom>
                    <a:noFill/>
                  </pic:spPr>
                </pic:pic>
              </a:graphicData>
            </a:graphic>
          </wp:anchor>
        </w:drawing>
        <w:t>MicroStrategy Incorporated</w:t>
      </w:r>
    </w:p>
    <w:p>
      <w:pPr>
        <w:spacing w:after="0" w:line="225"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2.25% Convertible Senior Note due 2032</w:t>
      </w:r>
    </w:p>
    <w:p>
      <w:pPr>
        <w:spacing w:after="0" w:line="225"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No. [_____]                                                                                          [Initially]</w:t>
      </w:r>
      <w:r>
        <w:rPr>
          <w:rFonts w:ascii="Times New Roman" w:cs="Times New Roman" w:eastAsia="Times New Roman" w:hAnsi="Times New Roman"/>
          <w:sz w:val="26"/>
          <w:szCs w:val="26"/>
          <w:color w:val="auto"/>
          <w:vertAlign w:val="superscript"/>
        </w:rPr>
        <w:t>1</w:t>
      </w:r>
      <w:r>
        <w:rPr>
          <w:rFonts w:ascii="Times New Roman" w:cs="Times New Roman" w:eastAsia="Times New Roman" w:hAnsi="Times New Roman"/>
          <w:sz w:val="18"/>
          <w:szCs w:val="18"/>
          <w:color w:val="auto"/>
        </w:rPr>
        <w:t xml:space="preserve"> $[_________]</w:t>
      </w:r>
    </w:p>
    <w:p>
      <w:pPr>
        <w:spacing w:after="0" w:line="133"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CUSIP No. [_________]</w:t>
      </w:r>
    </w:p>
    <w:p>
      <w:pPr>
        <w:spacing w:after="0" w:line="221" w:lineRule="exact"/>
        <w:rPr>
          <w:sz w:val="20"/>
          <w:szCs w:val="20"/>
          <w:color w:val="auto"/>
        </w:rPr>
      </w:pPr>
    </w:p>
    <w:p>
      <w:pPr>
        <w:ind w:left="4" w:right="80" w:firstLine="440"/>
        <w:spacing w:after="0" w:line="226" w:lineRule="auto"/>
        <w:rPr>
          <w:sz w:val="20"/>
          <w:szCs w:val="20"/>
          <w:color w:val="auto"/>
        </w:rPr>
      </w:pPr>
      <w:r>
        <w:rPr>
          <w:rFonts w:ascii="Times New Roman" w:cs="Times New Roman" w:eastAsia="Times New Roman" w:hAnsi="Times New Roman"/>
          <w:sz w:val="18"/>
          <w:szCs w:val="18"/>
          <w:color w:val="auto"/>
        </w:rPr>
        <w:t>MicroStrategy Incorporated, a corporation duly organized and validly existing under the laws of the State of Delaware (the “</w:t>
      </w:r>
      <w:r>
        <w:rPr>
          <w:rFonts w:ascii="Times New Roman" w:cs="Times New Roman" w:eastAsia="Times New Roman" w:hAnsi="Times New Roman"/>
          <w:sz w:val="18"/>
          <w:szCs w:val="18"/>
          <w:b w:val="1"/>
          <w:bCs w:val="1"/>
          <w:color w:val="auto"/>
        </w:rPr>
        <w:t>Company</w:t>
      </w:r>
      <w:r>
        <w:rPr>
          <w:rFonts w:ascii="Times New Roman" w:cs="Times New Roman" w:eastAsia="Times New Roman" w:hAnsi="Times New Roman"/>
          <w:sz w:val="18"/>
          <w:szCs w:val="18"/>
          <w:color w:val="auto"/>
        </w:rPr>
        <w:t>,” which term includes any successor corporation or other entity under the Indenture referred to on the reverse hereof), for value received hereby promises to pay to [CEDE &amp; CO.]</w:t>
      </w:r>
      <w:r>
        <w:rPr>
          <w:rFonts w:ascii="Times New Roman" w:cs="Times New Roman" w:eastAsia="Times New Roman" w:hAnsi="Times New Roman"/>
          <w:sz w:val="26"/>
          <w:szCs w:val="26"/>
          <w:color w:val="auto"/>
          <w:vertAlign w:val="superscript"/>
        </w:rPr>
        <w:t>2</w:t>
      </w:r>
      <w:r>
        <w:rPr>
          <w:rFonts w:ascii="Times New Roman" w:cs="Times New Roman" w:eastAsia="Times New Roman" w:hAnsi="Times New Roman"/>
          <w:sz w:val="18"/>
          <w:szCs w:val="18"/>
          <w:color w:val="auto"/>
        </w:rPr>
        <w:t xml:space="preserve"> [_______]</w:t>
      </w:r>
      <w:r>
        <w:rPr>
          <w:rFonts w:ascii="Times New Roman" w:cs="Times New Roman" w:eastAsia="Times New Roman" w:hAnsi="Times New Roman"/>
          <w:sz w:val="26"/>
          <w:szCs w:val="26"/>
          <w:color w:val="auto"/>
          <w:vertAlign w:val="superscript"/>
        </w:rPr>
        <w:t>3</w:t>
      </w:r>
      <w:r>
        <w:rPr>
          <w:rFonts w:ascii="Times New Roman" w:cs="Times New Roman" w:eastAsia="Times New Roman" w:hAnsi="Times New Roman"/>
          <w:sz w:val="18"/>
          <w:szCs w:val="18"/>
          <w:color w:val="auto"/>
        </w:rPr>
        <w:t>, or registered assigns, the principal sum [as set forth in the “Schedule of Exchanges of Notes” attached hereto]</w:t>
      </w:r>
      <w:r>
        <w:rPr>
          <w:rFonts w:ascii="Times New Roman" w:cs="Times New Roman" w:eastAsia="Times New Roman" w:hAnsi="Times New Roman"/>
          <w:sz w:val="26"/>
          <w:szCs w:val="26"/>
          <w:color w:val="auto"/>
          <w:vertAlign w:val="superscript"/>
        </w:rPr>
        <w:t>4</w:t>
      </w:r>
      <w:r>
        <w:rPr>
          <w:rFonts w:ascii="Times New Roman" w:cs="Times New Roman" w:eastAsia="Times New Roman" w:hAnsi="Times New Roman"/>
          <w:sz w:val="18"/>
          <w:szCs w:val="18"/>
          <w:color w:val="auto"/>
        </w:rPr>
        <w:t xml:space="preserve"> [of</w:t>
      </w:r>
    </w:p>
    <w:p>
      <w:pPr>
        <w:ind w:left="4"/>
        <w:spacing w:after="0" w:line="180" w:lineRule="auto"/>
        <w:rPr>
          <w:sz w:val="20"/>
          <w:szCs w:val="20"/>
          <w:color w:val="auto"/>
        </w:rPr>
      </w:pPr>
      <w:r>
        <w:rPr>
          <w:rFonts w:ascii="Times New Roman" w:cs="Times New Roman" w:eastAsia="Times New Roman" w:hAnsi="Times New Roman"/>
          <w:sz w:val="17"/>
          <w:szCs w:val="17"/>
          <w:color w:val="auto"/>
        </w:rPr>
        <w:t>$[_______]]</w:t>
      </w:r>
      <w:r>
        <w:rPr>
          <w:rFonts w:ascii="Times New Roman" w:cs="Times New Roman" w:eastAsia="Times New Roman" w:hAnsi="Times New Roman"/>
          <w:sz w:val="25"/>
          <w:szCs w:val="25"/>
          <w:color w:val="auto"/>
          <w:vertAlign w:val="superscript"/>
        </w:rPr>
        <w:t>5</w:t>
      </w:r>
      <w:r>
        <w:rPr>
          <w:rFonts w:ascii="Times New Roman" w:cs="Times New Roman" w:eastAsia="Times New Roman" w:hAnsi="Times New Roman"/>
          <w:sz w:val="17"/>
          <w:szCs w:val="17"/>
          <w:color w:val="auto"/>
        </w:rPr>
        <w:t>, which amount, taken together with the principal amounts of all other outstanding Notes, shall not, unless permitted by the Indenture,</w:t>
      </w:r>
    </w:p>
    <w:p>
      <w:pPr>
        <w:spacing w:after="0" w:line="1" w:lineRule="exact"/>
        <w:rPr>
          <w:sz w:val="20"/>
          <w:szCs w:val="20"/>
          <w:color w:val="auto"/>
        </w:rPr>
      </w:pPr>
    </w:p>
    <w:p>
      <w:pPr>
        <w:ind w:left="4" w:right="60"/>
        <w:spacing w:after="0" w:line="254" w:lineRule="auto"/>
        <w:rPr>
          <w:sz w:val="20"/>
          <w:szCs w:val="20"/>
          <w:color w:val="auto"/>
        </w:rPr>
      </w:pPr>
      <w:r>
        <w:rPr>
          <w:rFonts w:ascii="Times New Roman" w:cs="Times New Roman" w:eastAsia="Times New Roman" w:hAnsi="Times New Roman"/>
          <w:sz w:val="18"/>
          <w:szCs w:val="18"/>
          <w:color w:val="auto"/>
        </w:rPr>
        <w:t>exceed $700,000,000 in aggregate at any time (as increased by an amount equal to the aggregate principal amount of any additional Notes purchased by the Initial Purchasers pursuant to the exercise of their option to purchase additional Notes as set forth in the Purchase Agreement), in accordance with the rules and procedures of the Depositary, on June 15, 2032, and interest thereon as set forth below.</w:t>
      </w:r>
    </w:p>
    <w:p>
      <w:pPr>
        <w:spacing w:after="0" w:line="187"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This Note shall bear interest at the rate of 2.25% per year from June 17, 2024, or from the most recent date to which interest had been paid or</w:t>
      </w:r>
    </w:p>
    <w:p>
      <w:pPr>
        <w:spacing w:after="0" w:line="27"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provided for to, but excluding, the next scheduled Interest Payment Date until June 15, 2032. Interest is payable semi-annually in arrears on each</w:t>
      </w:r>
    </w:p>
    <w:p>
      <w:pPr>
        <w:spacing w:after="0" w:line="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June 15 and December 15, commencing on December 15, 2024, to Holders of record at the close of business on the preceding June 1 and December 1</w:t>
      </w:r>
    </w:p>
    <w:p>
      <w:pPr>
        <w:spacing w:after="0" w:line="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(whether or not such day is a Business Day), respectively. Additional Interest will be payable as set forth in Section 4.06(d), Section 4.06(e) and</w:t>
      </w:r>
    </w:p>
    <w:p>
      <w:pPr>
        <w:spacing w:after="0" w:line="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7"/>
          <w:szCs w:val="17"/>
          <w:color w:val="auto"/>
        </w:rPr>
        <w:t>Section 6.03 of the within-mentioned Indenture, and any reference to interest on, or in respect of, any Note therein shall be deemed to include Additional</w:t>
      </w:r>
    </w:p>
    <w:p>
      <w:pPr>
        <w:spacing w:after="0" w:line="21"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Interest if, in such context, Additional Interest is, was or would be payable pursuant to any of such Section 4.06(d), Section 4.06(e) or Section 6.03, and</w:t>
      </w:r>
    </w:p>
    <w:p>
      <w:pPr>
        <w:spacing w:after="0" w:line="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any express mention of the payment of Additional Interest in any provision therein shall not be construed as excluding Additional Interest in those</w:t>
      </w:r>
    </w:p>
    <w:p>
      <w:pPr>
        <w:spacing w:after="0" w:line="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provisions thereof where such express mention is not made.</w:t>
      </w:r>
    </w:p>
    <w:p>
      <w:pPr>
        <w:spacing w:after="0" w:line="207" w:lineRule="exact"/>
        <w:rPr>
          <w:sz w:val="20"/>
          <w:szCs w:val="20"/>
          <w:color w:val="auto"/>
        </w:rPr>
      </w:pPr>
    </w:p>
    <w:p>
      <w:pPr>
        <w:ind w:left="4" w:right="260" w:firstLine="440"/>
        <w:spacing w:after="0" w:line="266" w:lineRule="auto"/>
        <w:rPr>
          <w:sz w:val="20"/>
          <w:szCs w:val="20"/>
          <w:color w:val="auto"/>
        </w:rPr>
      </w:pPr>
      <w:r>
        <w:rPr>
          <w:rFonts w:ascii="Times New Roman" w:cs="Times New Roman" w:eastAsia="Times New Roman" w:hAnsi="Times New Roman"/>
          <w:sz w:val="18"/>
          <w:szCs w:val="18"/>
          <w:color w:val="auto"/>
        </w:rPr>
        <w:t>Any Defaulted Amounts shall accrue interest per annum at the rate borne by the Notes from, and including, the relevant payment date to, but excluding, the date on which such Defaulted Amounts shall have been paid by the Company, at its election, in accordance with Section 2.03(c) of the Indenture.</w:t>
      </w:r>
    </w:p>
    <w:p>
      <w:pPr>
        <w:spacing w:after="0" w:line="176" w:lineRule="exact"/>
        <w:rPr>
          <w:sz w:val="20"/>
          <w:szCs w:val="20"/>
          <w:color w:val="auto"/>
        </w:rPr>
      </w:pPr>
    </w:p>
    <w:p>
      <w:pPr>
        <w:ind w:left="4" w:right="140" w:firstLine="440"/>
        <w:spacing w:after="0" w:line="282" w:lineRule="auto"/>
        <w:rPr>
          <w:sz w:val="20"/>
          <w:szCs w:val="20"/>
          <w:color w:val="auto"/>
        </w:rPr>
      </w:pPr>
      <w:r>
        <w:rPr>
          <w:rFonts w:ascii="Times New Roman" w:cs="Times New Roman" w:eastAsia="Times New Roman" w:hAnsi="Times New Roman"/>
          <w:sz w:val="18"/>
          <w:szCs w:val="18"/>
          <w:color w:val="auto"/>
        </w:rPr>
        <w:t>The Company shall pay the principal of and interest on this Note, if and so long as such Note is a Global Note, in immediately available funds to the Depositary or its nominee, as the case may be, as the registered Holder of such Note. As provided in and subject to the provisions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0</wp:posOffset>
            </wp:positionH>
            <wp:positionV relativeFrom="paragraph">
              <wp:posOffset>379730</wp:posOffset>
            </wp:positionV>
            <wp:extent cx="771525" cy="8890"/>
            <wp:wrapNone/>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39">
                      <a:extLst>
                        <a:ext uri="{28A0092B-C50C-407E-A947-70E740481C1C}"/>
                      </a:extLst>
                    </a:blip>
                    <a:srcRect/>
                    <a:stretch>
                      <a:fillRect/>
                    </a:stretch>
                  </pic:blipFill>
                  <pic:spPr bwMode="auto">
                    <a:xfrm>
                      <a:off x="0" y="0"/>
                      <a:ext cx="771525" cy="8890"/>
                    </a:xfrm>
                    <a:prstGeom prst="rect">
                      <a:avLst/>
                    </a:prstGeom>
                    <a:noFill/>
                  </pic:spPr>
                </pic:pic>
              </a:graphicData>
            </a:graphic>
          </wp:anchor>
        </w:drawing>
      </w:r>
    </w:p>
    <w:p>
      <w:pPr>
        <w:spacing w:after="0" w:line="200" w:lineRule="exact"/>
        <w:rPr>
          <w:sz w:val="20"/>
          <w:szCs w:val="20"/>
          <w:color w:val="auto"/>
        </w:rPr>
      </w:pPr>
    </w:p>
    <w:p>
      <w:pPr>
        <w:spacing w:after="0" w:line="324" w:lineRule="exact"/>
        <w:rPr>
          <w:sz w:val="20"/>
          <w:szCs w:val="20"/>
          <w:color w:val="auto"/>
        </w:rPr>
      </w:pPr>
    </w:p>
    <w:p>
      <w:pPr>
        <w:ind w:left="424" w:hanging="424"/>
        <w:spacing w:after="0"/>
        <w:tabs>
          <w:tab w:leader="none" w:pos="424" w:val="left"/>
        </w:tabs>
        <w:numPr>
          <w:ilvl w:val="0"/>
          <w:numId w:val="102"/>
        </w:numPr>
        <w:rPr>
          <w:rFonts w:ascii="Times New Roman" w:cs="Times New Roman" w:eastAsia="Times New Roman" w:hAnsi="Times New Roman"/>
          <w:sz w:val="27"/>
          <w:szCs w:val="27"/>
          <w:b w:val="1"/>
          <w:bCs w:val="1"/>
          <w:color w:val="auto"/>
          <w:vertAlign w:val="superscript"/>
        </w:rPr>
      </w:pPr>
      <w:r>
        <w:rPr>
          <w:rFonts w:ascii="Times New Roman" w:cs="Times New Roman" w:eastAsia="Times New Roman" w:hAnsi="Times New Roman"/>
          <w:sz w:val="18"/>
          <w:szCs w:val="18"/>
          <w:b w:val="1"/>
          <w:bCs w:val="1"/>
          <w:color w:val="auto"/>
        </w:rPr>
        <w:t>Include if a global note.</w:t>
      </w:r>
    </w:p>
    <w:p>
      <w:pPr>
        <w:ind w:left="424" w:hanging="424"/>
        <w:spacing w:after="0" w:line="180" w:lineRule="auto"/>
        <w:tabs>
          <w:tab w:leader="none" w:pos="424" w:val="left"/>
        </w:tabs>
        <w:numPr>
          <w:ilvl w:val="0"/>
          <w:numId w:val="103"/>
        </w:numPr>
        <w:rPr>
          <w:rFonts w:ascii="Times New Roman" w:cs="Times New Roman" w:eastAsia="Times New Roman" w:hAnsi="Times New Roman"/>
          <w:sz w:val="25"/>
          <w:szCs w:val="25"/>
          <w:b w:val="1"/>
          <w:bCs w:val="1"/>
          <w:color w:val="auto"/>
          <w:vertAlign w:val="superscript"/>
        </w:rPr>
      </w:pPr>
      <w:r>
        <w:rPr>
          <w:rFonts w:ascii="Times New Roman" w:cs="Times New Roman" w:eastAsia="Times New Roman" w:hAnsi="Times New Roman"/>
          <w:sz w:val="17"/>
          <w:szCs w:val="17"/>
          <w:b w:val="1"/>
          <w:bCs w:val="1"/>
          <w:color w:val="auto"/>
        </w:rPr>
        <w:t>Include if a global note.</w:t>
      </w:r>
    </w:p>
    <w:p>
      <w:pPr>
        <w:ind w:left="424" w:hanging="424"/>
        <w:spacing w:after="0" w:line="180" w:lineRule="auto"/>
        <w:tabs>
          <w:tab w:leader="none" w:pos="424" w:val="left"/>
        </w:tabs>
        <w:numPr>
          <w:ilvl w:val="0"/>
          <w:numId w:val="104"/>
        </w:numPr>
        <w:rPr>
          <w:rFonts w:ascii="Times New Roman" w:cs="Times New Roman" w:eastAsia="Times New Roman" w:hAnsi="Times New Roman"/>
          <w:sz w:val="25"/>
          <w:szCs w:val="25"/>
          <w:b w:val="1"/>
          <w:bCs w:val="1"/>
          <w:color w:val="auto"/>
          <w:vertAlign w:val="superscript"/>
        </w:rPr>
      </w:pPr>
      <w:r>
        <w:rPr>
          <w:rFonts w:ascii="Times New Roman" w:cs="Times New Roman" w:eastAsia="Times New Roman" w:hAnsi="Times New Roman"/>
          <w:sz w:val="17"/>
          <w:szCs w:val="17"/>
          <w:b w:val="1"/>
          <w:bCs w:val="1"/>
          <w:color w:val="auto"/>
        </w:rPr>
        <w:t>Include if a physical note.</w:t>
      </w:r>
    </w:p>
    <w:p>
      <w:pPr>
        <w:ind w:left="424" w:hanging="424"/>
        <w:spacing w:after="0" w:line="180" w:lineRule="auto"/>
        <w:tabs>
          <w:tab w:leader="none" w:pos="424" w:val="left"/>
        </w:tabs>
        <w:numPr>
          <w:ilvl w:val="0"/>
          <w:numId w:val="105"/>
        </w:numPr>
        <w:rPr>
          <w:rFonts w:ascii="Times New Roman" w:cs="Times New Roman" w:eastAsia="Times New Roman" w:hAnsi="Times New Roman"/>
          <w:sz w:val="25"/>
          <w:szCs w:val="25"/>
          <w:b w:val="1"/>
          <w:bCs w:val="1"/>
          <w:color w:val="auto"/>
          <w:vertAlign w:val="superscript"/>
        </w:rPr>
      </w:pPr>
      <w:r>
        <w:rPr>
          <w:rFonts w:ascii="Times New Roman" w:cs="Times New Roman" w:eastAsia="Times New Roman" w:hAnsi="Times New Roman"/>
          <w:sz w:val="17"/>
          <w:szCs w:val="17"/>
          <w:b w:val="1"/>
          <w:bCs w:val="1"/>
          <w:color w:val="auto"/>
        </w:rPr>
        <w:t>Include if a global note.</w:t>
      </w:r>
    </w:p>
    <w:p>
      <w:pPr>
        <w:ind w:left="424" w:hanging="424"/>
        <w:spacing w:after="0" w:line="181" w:lineRule="auto"/>
        <w:tabs>
          <w:tab w:leader="none" w:pos="424" w:val="left"/>
        </w:tabs>
        <w:numPr>
          <w:ilvl w:val="0"/>
          <w:numId w:val="106"/>
        </w:numPr>
        <w:rPr>
          <w:rFonts w:ascii="Times New Roman" w:cs="Times New Roman" w:eastAsia="Times New Roman" w:hAnsi="Times New Roman"/>
          <w:sz w:val="25"/>
          <w:szCs w:val="25"/>
          <w:b w:val="1"/>
          <w:bCs w:val="1"/>
          <w:color w:val="auto"/>
          <w:vertAlign w:val="superscript"/>
        </w:rPr>
      </w:pPr>
      <w:r>
        <w:rPr>
          <w:rFonts w:ascii="Times New Roman" w:cs="Times New Roman" w:eastAsia="Times New Roman" w:hAnsi="Times New Roman"/>
          <w:sz w:val="17"/>
          <w:szCs w:val="17"/>
          <w:b w:val="1"/>
          <w:bCs w:val="1"/>
          <w:color w:val="auto"/>
        </w:rPr>
        <w:t>Include if a physical note.</w:t>
      </w:r>
    </w:p>
    <w:p>
      <w:pPr>
        <w:spacing w:after="0" w:line="131"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A-3</w:t>
      </w:r>
    </w:p>
    <w:p>
      <w:pPr>
        <w:sectPr>
          <w:pgSz w:w="11900" w:h="16838" w:orient="portrait"/>
          <w:cols w:equalWidth="0" w:num="1">
            <w:col w:w="11004"/>
          </w:cols>
          <w:pgMar w:left="436" w:top="270" w:right="459" w:bottom="1440" w:gutter="0" w:footer="0" w:header="0"/>
        </w:sectPr>
      </w:pPr>
    </w:p>
    <w:bookmarkStart w:id="112" w:name="page113"/>
    <w:bookmarkEnd w:id="112"/>
    <w:p>
      <w:pPr>
        <w:ind w:right="8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40">
                      <a:extLst>
                        <a:ext uri="{28A0092B-C50C-407E-A947-70E740481C1C}"/>
                      </a:extLst>
                    </a:blip>
                    <a:srcRect/>
                    <a:stretch>
                      <a:fillRect/>
                    </a:stretch>
                  </pic:blipFill>
                  <pic:spPr bwMode="auto">
                    <a:xfrm>
                      <a:off x="0" y="0"/>
                      <a:ext cx="7174865" cy="38100"/>
                    </a:xfrm>
                    <a:prstGeom prst="rect">
                      <a:avLst/>
                    </a:prstGeom>
                    <a:noFill/>
                  </pic:spPr>
                </pic:pic>
              </a:graphicData>
            </a:graphic>
          </wp:anchor>
        </w:drawing>
        <w:t>of the Indenture, the Company shall pay the principal of any Notes (other than Notes that are Global Notes) at the office or agency designated by the Company for that purpose. The Company has initially designated the Trustee as its Paying Agent and Note Registrar in respect of the Notes and its Corporate Trust Office located in the United States of America, as a place where Notes may be presented for payment or for registration of transfer and exchange.</w:t>
      </w:r>
    </w:p>
    <w:p>
      <w:pPr>
        <w:spacing w:after="0" w:line="180" w:lineRule="exact"/>
        <w:rPr>
          <w:sz w:val="20"/>
          <w:szCs w:val="20"/>
          <w:color w:val="auto"/>
        </w:rPr>
      </w:pPr>
    </w:p>
    <w:p>
      <w:pPr>
        <w:ind w:right="20" w:firstLine="440"/>
        <w:spacing w:after="0" w:line="261" w:lineRule="auto"/>
        <w:rPr>
          <w:sz w:val="20"/>
          <w:szCs w:val="20"/>
          <w:color w:val="auto"/>
        </w:rPr>
      </w:pPr>
      <w:r>
        <w:rPr>
          <w:rFonts w:ascii="Times New Roman" w:cs="Times New Roman" w:eastAsia="Times New Roman" w:hAnsi="Times New Roman"/>
          <w:sz w:val="18"/>
          <w:szCs w:val="18"/>
          <w:color w:val="auto"/>
        </w:rPr>
        <w:t>Reference is made to the further provisions of this Note set forth on the reverse hereof, including, without limitation, provisions giving the Holder of this Note the right to convert this Note into cash, shares of Common Stock or a combination of cash and shares of Common Stock, as applicable, on the terms and subject to the limitations set forth in the Indenture. Such further provisions shall for all purposes have the same effect as though fully set forth at this place.</w:t>
      </w:r>
    </w:p>
    <w:p>
      <w:pPr>
        <w:spacing w:after="0" w:line="176" w:lineRule="exact"/>
        <w:rPr>
          <w:sz w:val="20"/>
          <w:szCs w:val="20"/>
          <w:color w:val="auto"/>
        </w:rPr>
      </w:pPr>
    </w:p>
    <w:p>
      <w:pPr>
        <w:ind w:right="680" w:firstLine="440"/>
        <w:spacing w:after="0" w:line="286" w:lineRule="auto"/>
        <w:rPr>
          <w:sz w:val="20"/>
          <w:szCs w:val="20"/>
          <w:color w:val="auto"/>
        </w:rPr>
      </w:pPr>
      <w:r>
        <w:rPr>
          <w:rFonts w:ascii="Times New Roman" w:cs="Times New Roman" w:eastAsia="Times New Roman" w:hAnsi="Times New Roman"/>
          <w:sz w:val="18"/>
          <w:szCs w:val="18"/>
          <w:b w:val="1"/>
          <w:bCs w:val="1"/>
          <w:color w:val="auto"/>
        </w:rPr>
        <w:t>This Note, and any claim, controversy or dispute arising under or related to this Note, shall be construed in accordance with and governed by the laws of the State of New York (without regard to the conflicts of laws provisions thereof).</w:t>
      </w:r>
    </w:p>
    <w:p>
      <w:pPr>
        <w:spacing w:after="0" w:line="159"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In the case of any conflict between this Note and the Indenture, the provisions of the Indenture shall control and govern.</w:t>
      </w:r>
    </w:p>
    <w:p>
      <w:pPr>
        <w:spacing w:after="0" w:line="225" w:lineRule="exact"/>
        <w:rPr>
          <w:sz w:val="20"/>
          <w:szCs w:val="20"/>
          <w:color w:val="auto"/>
        </w:rPr>
      </w:pPr>
    </w:p>
    <w:p>
      <w:pPr>
        <w:ind w:firstLine="440"/>
        <w:spacing w:after="0" w:line="282" w:lineRule="auto"/>
        <w:rPr>
          <w:sz w:val="20"/>
          <w:szCs w:val="20"/>
          <w:color w:val="auto"/>
        </w:rPr>
      </w:pPr>
      <w:r>
        <w:rPr>
          <w:rFonts w:ascii="Times New Roman" w:cs="Times New Roman" w:eastAsia="Times New Roman" w:hAnsi="Times New Roman"/>
          <w:sz w:val="18"/>
          <w:szCs w:val="18"/>
          <w:color w:val="auto"/>
        </w:rPr>
        <w:t>This Note shall not be valid or become obligatory for any purpose until the certificate of authentication hereon shall have been signed manually or by facsimile by the Trustee or a duly authorized authenticating agent under the Indenture.</w:t>
      </w:r>
    </w:p>
    <w:p>
      <w:pPr>
        <w:spacing w:after="0" w:line="160"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Remainder of page intentionally left blank</w:t>
      </w:r>
      <w:r>
        <w:rPr>
          <w:rFonts w:ascii="Times New Roman" w:cs="Times New Roman" w:eastAsia="Times New Roman" w:hAnsi="Times New Roman"/>
          <w:sz w:val="18"/>
          <w:szCs w:val="18"/>
          <w:color w:val="auto"/>
        </w:rPr>
        <w:t>]</w:t>
      </w:r>
    </w:p>
    <w:p>
      <w:pPr>
        <w:spacing w:after="0" w:line="160"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A-4</w:t>
      </w:r>
    </w:p>
    <w:p>
      <w:pPr>
        <w:sectPr>
          <w:pgSz w:w="11900" w:h="16838" w:orient="portrait"/>
          <w:cols w:equalWidth="0" w:num="1">
            <w:col w:w="10960"/>
          </w:cols>
          <w:pgMar w:left="440" w:top="270" w:right="499" w:bottom="1440" w:gutter="0" w:footer="0" w:header="0"/>
        </w:sectPr>
      </w:pPr>
    </w:p>
    <w:bookmarkStart w:id="113" w:name="page114"/>
    <w:bookmarkEnd w:id="113"/>
    <w:p>
      <w:pPr>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4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IN WITNESS WHEREOF, the Company has caused this Note to be duly executed.</w:t>
      </w:r>
    </w:p>
    <w:p>
      <w:pPr>
        <w:spacing w:after="0" w:line="252" w:lineRule="exact"/>
        <w:rPr>
          <w:sz w:val="20"/>
          <w:szCs w:val="20"/>
          <w:color w:val="auto"/>
        </w:rPr>
      </w:pPr>
    </w:p>
    <w:p>
      <w:pPr>
        <w:ind w:left="6180"/>
        <w:spacing w:after="0"/>
        <w:rPr>
          <w:sz w:val="20"/>
          <w:szCs w:val="20"/>
          <w:color w:val="auto"/>
        </w:rPr>
      </w:pPr>
      <w:r>
        <w:rPr>
          <w:rFonts w:ascii="Times New Roman" w:cs="Times New Roman" w:eastAsia="Times New Roman" w:hAnsi="Times New Roman"/>
          <w:sz w:val="17"/>
          <w:szCs w:val="17"/>
          <w:color w:val="auto"/>
        </w:rPr>
        <w:t>MICROSTRATEGY INCORPORATED</w:t>
      </w:r>
    </w:p>
    <w:p>
      <w:pPr>
        <w:spacing w:after="0" w:line="237" w:lineRule="exact"/>
        <w:rPr>
          <w:sz w:val="20"/>
          <w:szCs w:val="20"/>
          <w:color w:val="auto"/>
        </w:rPr>
      </w:pPr>
    </w:p>
    <w:p>
      <w:pPr>
        <w:ind w:left="6180"/>
        <w:spacing w:after="0"/>
        <w:rPr>
          <w:sz w:val="20"/>
          <w:szCs w:val="20"/>
          <w:color w:val="auto"/>
        </w:rPr>
      </w:pPr>
      <w:r>
        <w:rPr>
          <w:rFonts w:ascii="Times New Roman" w:cs="Times New Roman" w:eastAsia="Times New Roman" w:hAnsi="Times New Roman"/>
          <w:sz w:val="18"/>
          <w:szCs w:val="18"/>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4149725</wp:posOffset>
            </wp:positionH>
            <wp:positionV relativeFrom="paragraph">
              <wp:posOffset>17145</wp:posOffset>
            </wp:positionV>
            <wp:extent cx="2562860" cy="8255"/>
            <wp:wrapNone/>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42">
                      <a:extLst>
                        <a:ext uri="{28A0092B-C50C-407E-A947-70E740481C1C}"/>
                      </a:extLst>
                    </a:blip>
                    <a:srcRect/>
                    <a:stretch>
                      <a:fillRect/>
                    </a:stretch>
                  </pic:blipFill>
                  <pic:spPr bwMode="auto">
                    <a:xfrm>
                      <a:off x="0" y="0"/>
                      <a:ext cx="2562860" cy="8255"/>
                    </a:xfrm>
                    <a:prstGeom prst="rect">
                      <a:avLst/>
                    </a:prstGeom>
                    <a:noFill/>
                  </pic:spPr>
                </pic:pic>
              </a:graphicData>
            </a:graphic>
          </wp:anchor>
        </w:drawing>
      </w:r>
    </w:p>
    <w:p>
      <w:pPr>
        <w:spacing w:after="0" w:line="16" w:lineRule="exact"/>
        <w:rPr>
          <w:sz w:val="20"/>
          <w:szCs w:val="20"/>
          <w:color w:val="auto"/>
        </w:rPr>
      </w:pPr>
    </w:p>
    <w:p>
      <w:pPr>
        <w:ind w:left="6540"/>
        <w:spacing w:after="0"/>
        <w:rPr>
          <w:sz w:val="20"/>
          <w:szCs w:val="20"/>
          <w:color w:val="auto"/>
        </w:rPr>
      </w:pPr>
      <w:r>
        <w:rPr>
          <w:rFonts w:ascii="Times New Roman" w:cs="Times New Roman" w:eastAsia="Times New Roman" w:hAnsi="Times New Roman"/>
          <w:sz w:val="18"/>
          <w:szCs w:val="18"/>
          <w:color w:val="auto"/>
        </w:rPr>
        <w:t>Name:</w:t>
      </w:r>
    </w:p>
    <w:p>
      <w:pPr>
        <w:spacing w:after="0" w:line="27" w:lineRule="exact"/>
        <w:rPr>
          <w:sz w:val="20"/>
          <w:szCs w:val="20"/>
          <w:color w:val="auto"/>
        </w:rPr>
      </w:pPr>
    </w:p>
    <w:p>
      <w:pPr>
        <w:ind w:left="6540"/>
        <w:spacing w:after="0"/>
        <w:rPr>
          <w:sz w:val="20"/>
          <w:szCs w:val="20"/>
          <w:color w:val="auto"/>
        </w:rPr>
      </w:pPr>
      <w:r>
        <w:rPr>
          <w:rFonts w:ascii="Times New Roman" w:cs="Times New Roman" w:eastAsia="Times New Roman" w:hAnsi="Times New Roman"/>
          <w:sz w:val="18"/>
          <w:szCs w:val="18"/>
          <w:color w:val="auto"/>
        </w:rPr>
        <w:t>Title:</w:t>
      </w:r>
    </w:p>
    <w:p>
      <w:pPr>
        <w:spacing w:after="0" w:line="139" w:lineRule="exact"/>
        <w:rPr>
          <w:sz w:val="20"/>
          <w:szCs w:val="20"/>
          <w:color w:val="auto"/>
        </w:rPr>
      </w:pPr>
    </w:p>
    <w:p>
      <w:pPr>
        <w:ind w:left="4920"/>
        <w:spacing w:after="0"/>
        <w:rPr>
          <w:sz w:val="20"/>
          <w:szCs w:val="20"/>
          <w:color w:val="auto"/>
        </w:rPr>
      </w:pPr>
      <w:r>
        <w:rPr>
          <w:rFonts w:ascii="Times New Roman" w:cs="Times New Roman" w:eastAsia="Times New Roman" w:hAnsi="Times New Roman"/>
          <w:sz w:val="18"/>
          <w:szCs w:val="18"/>
          <w:color w:val="auto"/>
        </w:rPr>
        <w:t>A-5</w:t>
      </w:r>
    </w:p>
    <w:p>
      <w:pPr>
        <w:sectPr>
          <w:pgSz w:w="11900" w:h="16838" w:orient="portrait"/>
          <w:cols w:equalWidth="0" w:num="1">
            <w:col w:w="9579"/>
          </w:cols>
          <w:pgMar w:left="880" w:top="270" w:right="1440" w:bottom="1440" w:gutter="0" w:footer="0" w:header="0"/>
        </w:sectPr>
      </w:pPr>
    </w:p>
    <w:bookmarkStart w:id="114" w:name="page115"/>
    <w:bookmarkEnd w:id="114"/>
    <w:p>
      <w:pPr>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4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Dated:</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TRUSTEE’S CERTIFICATE OF AUTHENTICATION</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U.S. BANK TRUST COMPANY, NATIONAL ASSOCIATION</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as Trustee, certifies that this is one of the Notes described</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in the within-named Indenture.</w:t>
      </w:r>
    </w:p>
    <w:p>
      <w:pPr>
        <w:spacing w:after="0" w:line="23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By:_______________________________</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    Authorized Officer</w:t>
      </w:r>
    </w:p>
    <w:p>
      <w:pPr>
        <w:spacing w:after="0" w:line="139" w:lineRule="exact"/>
        <w:rPr>
          <w:sz w:val="20"/>
          <w:szCs w:val="20"/>
          <w:color w:val="auto"/>
        </w:rPr>
      </w:pPr>
    </w:p>
    <w:p>
      <w:pPr>
        <w:jc w:val="right"/>
        <w:ind w:right="4379"/>
        <w:spacing w:after="0"/>
        <w:rPr>
          <w:sz w:val="20"/>
          <w:szCs w:val="20"/>
          <w:color w:val="auto"/>
        </w:rPr>
      </w:pPr>
      <w:r>
        <w:rPr>
          <w:rFonts w:ascii="Times New Roman" w:cs="Times New Roman" w:eastAsia="Times New Roman" w:hAnsi="Times New Roman"/>
          <w:sz w:val="18"/>
          <w:szCs w:val="18"/>
          <w:color w:val="auto"/>
        </w:rPr>
        <w:t>A-6</w:t>
      </w:r>
    </w:p>
    <w:p>
      <w:pPr>
        <w:sectPr>
          <w:pgSz w:w="11900" w:h="16838" w:orient="portrait"/>
          <w:cols w:equalWidth="0" w:num="1">
            <w:col w:w="10019"/>
          </w:cols>
          <w:pgMar w:left="440" w:top="270" w:right="1440" w:bottom="1440" w:gutter="0" w:footer="0" w:header="0"/>
        </w:sectPr>
      </w:pPr>
    </w:p>
    <w:bookmarkStart w:id="115" w:name="page116"/>
    <w:bookmarkEnd w:id="115"/>
    <w:p>
      <w:pPr>
        <w:jc w:val="center"/>
        <w:ind w:right="-39"/>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4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[FORM OF REVERSE OF NOTE]</w:t>
      </w:r>
    </w:p>
    <w:p>
      <w:pPr>
        <w:spacing w:after="0" w:line="225"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7"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2.25% Convertible Senior Note due 2032</w:t>
      </w:r>
    </w:p>
    <w:p>
      <w:pPr>
        <w:spacing w:after="0" w:line="203" w:lineRule="exact"/>
        <w:rPr>
          <w:sz w:val="20"/>
          <w:szCs w:val="20"/>
          <w:color w:val="auto"/>
        </w:rPr>
      </w:pPr>
    </w:p>
    <w:p>
      <w:pPr>
        <w:ind w:right="140" w:firstLine="440"/>
        <w:spacing w:after="0" w:line="255" w:lineRule="auto"/>
        <w:rPr>
          <w:sz w:val="20"/>
          <w:szCs w:val="20"/>
          <w:color w:val="auto"/>
        </w:rPr>
      </w:pPr>
      <w:r>
        <w:rPr>
          <w:rFonts w:ascii="Times New Roman" w:cs="Times New Roman" w:eastAsia="Times New Roman" w:hAnsi="Times New Roman"/>
          <w:sz w:val="18"/>
          <w:szCs w:val="18"/>
          <w:color w:val="auto"/>
        </w:rPr>
        <w:t>This Note is one of a duly authorized issue of Notes of the Company, designated as its 2.25% Convertible Senior Notes due 2032 (the “</w:t>
      </w:r>
      <w:r>
        <w:rPr>
          <w:rFonts w:ascii="Times New Roman" w:cs="Times New Roman" w:eastAsia="Times New Roman" w:hAnsi="Times New Roman"/>
          <w:sz w:val="18"/>
          <w:szCs w:val="18"/>
          <w:b w:val="1"/>
          <w:bCs w:val="1"/>
          <w:color w:val="auto"/>
        </w:rPr>
        <w:t>Notes</w:t>
      </w:r>
      <w:r>
        <w:rPr>
          <w:rFonts w:ascii="Times New Roman" w:cs="Times New Roman" w:eastAsia="Times New Roman" w:hAnsi="Times New Roman"/>
          <w:sz w:val="18"/>
          <w:szCs w:val="18"/>
          <w:color w:val="auto"/>
        </w:rPr>
        <w:t>”), limited to the aggregate principal amount of $700,000,000 (as increased by an amount equal to the aggregate principal amount of any additional Notes purchased by the Initial Purchasers pursuant to the exercise of their option to purchase additional Notes as set forth in the Purchase Agreement), all issued or to be issued under and pursuant to an Indenture dated as of June 17, 2024 (the “</w:t>
      </w:r>
      <w:r>
        <w:rPr>
          <w:rFonts w:ascii="Times New Roman" w:cs="Times New Roman" w:eastAsia="Times New Roman" w:hAnsi="Times New Roman"/>
          <w:sz w:val="18"/>
          <w:szCs w:val="18"/>
          <w:b w:val="1"/>
          <w:bCs w:val="1"/>
          <w:color w:val="auto"/>
        </w:rPr>
        <w:t>Indenture</w:t>
      </w:r>
      <w:r>
        <w:rPr>
          <w:rFonts w:ascii="Times New Roman" w:cs="Times New Roman" w:eastAsia="Times New Roman" w:hAnsi="Times New Roman"/>
          <w:sz w:val="18"/>
          <w:szCs w:val="18"/>
          <w:color w:val="auto"/>
        </w:rPr>
        <w:t>”), between the Company and U.S. Bank Trust Company, National Association (the “</w:t>
      </w:r>
      <w:r>
        <w:rPr>
          <w:rFonts w:ascii="Times New Roman" w:cs="Times New Roman" w:eastAsia="Times New Roman" w:hAnsi="Times New Roman"/>
          <w:sz w:val="18"/>
          <w:szCs w:val="18"/>
          <w:b w:val="1"/>
          <w:bCs w:val="1"/>
          <w:color w:val="auto"/>
        </w:rPr>
        <w:t>Trustee</w:t>
      </w:r>
      <w:r>
        <w:rPr>
          <w:rFonts w:ascii="Times New Roman" w:cs="Times New Roman" w:eastAsia="Times New Roman" w:hAnsi="Times New Roman"/>
          <w:sz w:val="18"/>
          <w:szCs w:val="18"/>
          <w:color w:val="auto"/>
        </w:rPr>
        <w:t>”), to which Indenture and all indentures supplemental thereto reference is hereby made for a description of the rights, limitations of rights, obligations, duties and immunities thereunder of the Trustee, the Company and the Holders of the Notes. Additional Notes may be issued in an unlimited aggregate principal amount, subject to certain conditions specified in the Indenture. Capitalized terms used in this Note and not defined in this Note shall have the respective meanings set forth in the Indenture.</w:t>
      </w:r>
    </w:p>
    <w:p>
      <w:pPr>
        <w:spacing w:after="0" w:line="189" w:lineRule="exact"/>
        <w:rPr>
          <w:sz w:val="20"/>
          <w:szCs w:val="20"/>
          <w:color w:val="auto"/>
        </w:rPr>
      </w:pPr>
    </w:p>
    <w:p>
      <w:pPr>
        <w:ind w:right="20" w:firstLine="440"/>
        <w:spacing w:after="0" w:line="266" w:lineRule="auto"/>
        <w:rPr>
          <w:sz w:val="20"/>
          <w:szCs w:val="20"/>
          <w:color w:val="auto"/>
        </w:rPr>
      </w:pPr>
      <w:r>
        <w:rPr>
          <w:rFonts w:ascii="Times New Roman" w:cs="Times New Roman" w:eastAsia="Times New Roman" w:hAnsi="Times New Roman"/>
          <w:sz w:val="18"/>
          <w:szCs w:val="18"/>
          <w:color w:val="auto"/>
        </w:rPr>
        <w:t>In case certain Events of Default shall have occurred and be continuing, the principal of, and interest on, all Notes may be declared, by either the Trustee or Holders of at least 25% in aggregate principal amount of Notes then outstanding, and upon said declaration shall become, due and payable, in the manner, with the effect and subject to the conditions and certain exceptions set forth in the Indenture.</w:t>
      </w:r>
    </w:p>
    <w:p>
      <w:pPr>
        <w:spacing w:after="0" w:line="176" w:lineRule="exact"/>
        <w:rPr>
          <w:sz w:val="20"/>
          <w:szCs w:val="20"/>
          <w:color w:val="auto"/>
        </w:rPr>
      </w:pPr>
    </w:p>
    <w:p>
      <w:pPr>
        <w:ind w:firstLine="440"/>
        <w:spacing w:after="0" w:line="258" w:lineRule="auto"/>
        <w:rPr>
          <w:sz w:val="20"/>
          <w:szCs w:val="20"/>
          <w:color w:val="auto"/>
        </w:rPr>
      </w:pPr>
      <w:r>
        <w:rPr>
          <w:rFonts w:ascii="Times New Roman" w:cs="Times New Roman" w:eastAsia="Times New Roman" w:hAnsi="Times New Roman"/>
          <w:sz w:val="18"/>
          <w:szCs w:val="18"/>
          <w:color w:val="auto"/>
        </w:rPr>
        <w:t>Subject to the terms and conditions of the Indenture, the Company will make all payments and deliveries in respect of the Repurchase Price on the Repurchase Date, the Fundamental Change Repurchase Price on the Fundamental Change Repurchase Date, the Redemption Price on the relevant Redemption Date and the principal amount on the Maturity Date, as the case may be, to the Holder who surrenders a Note to a Paying Agent to collect such payments in respect of the Note. The Company will pay cash amounts in money of the United States that at the time of payment is legal tender for payment of public and private debts.</w:t>
      </w:r>
    </w:p>
    <w:p>
      <w:pPr>
        <w:spacing w:after="0" w:line="183" w:lineRule="exact"/>
        <w:rPr>
          <w:sz w:val="20"/>
          <w:szCs w:val="20"/>
          <w:color w:val="auto"/>
        </w:rPr>
      </w:pPr>
    </w:p>
    <w:p>
      <w:pPr>
        <w:ind w:right="180" w:firstLine="440"/>
        <w:spacing w:after="0" w:line="256" w:lineRule="auto"/>
        <w:rPr>
          <w:sz w:val="20"/>
          <w:szCs w:val="20"/>
          <w:color w:val="auto"/>
        </w:rPr>
      </w:pPr>
      <w:r>
        <w:rPr>
          <w:rFonts w:ascii="Times New Roman" w:cs="Times New Roman" w:eastAsia="Times New Roman" w:hAnsi="Times New Roman"/>
          <w:sz w:val="18"/>
          <w:szCs w:val="18"/>
          <w:color w:val="auto"/>
        </w:rPr>
        <w:t>The Indenture contains provisions permitting the Company and the Trustee in certain circumstances, without the consent of the Holders of the Notes, and in certain other circumstances, with the consent of the Holders of not less than a majority in aggregate principal amount of the Notes at the time outstanding, evidenced as in the Indenture provided, to execute supplemental indentures modifying the terms of the Indenture and the Notes as described therein. It is also provided in the Indenture that, subject to certain exceptions, the Holders of a majority in aggregate principal amount of the Notes at the time outstanding may on behalf of the Holders of all of the Notes waive any past Default or Event of Default under the Indenture and its consequences.</w:t>
      </w:r>
    </w:p>
    <w:p>
      <w:pPr>
        <w:spacing w:after="0" w:line="363"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A-7</w:t>
      </w:r>
    </w:p>
    <w:p>
      <w:pPr>
        <w:sectPr>
          <w:pgSz w:w="11900" w:h="16838" w:orient="portrait"/>
          <w:cols w:equalWidth="0" w:num="1">
            <w:col w:w="10980"/>
          </w:cols>
          <w:pgMar w:left="440" w:top="270" w:right="479" w:bottom="1440" w:gutter="0" w:footer="0" w:header="0"/>
        </w:sectPr>
      </w:pPr>
    </w:p>
    <w:bookmarkStart w:id="116" w:name="page117"/>
    <w:bookmarkEnd w:id="116"/>
    <w:p>
      <w:pPr>
        <w:ind w:right="60" w:firstLine="44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45">
                      <a:extLst>
                        <a:ext uri="{28A0092B-C50C-407E-A947-70E740481C1C}"/>
                      </a:extLst>
                    </a:blip>
                    <a:srcRect/>
                    <a:stretch>
                      <a:fillRect/>
                    </a:stretch>
                  </pic:blipFill>
                  <pic:spPr bwMode="auto">
                    <a:xfrm>
                      <a:off x="0" y="0"/>
                      <a:ext cx="7174865" cy="38100"/>
                    </a:xfrm>
                    <a:prstGeom prst="rect">
                      <a:avLst/>
                    </a:prstGeom>
                    <a:noFill/>
                  </pic:spPr>
                </pic:pic>
              </a:graphicData>
            </a:graphic>
          </wp:anchor>
        </w:drawing>
        <w:t>Each Holder shall have the right to receive payment or delivery, as the case may be, of (x) the principal (including the Redemption Price, the Repurchase Price and the Fundamental Change Repurchase Price, if applicable) of, (y) accrued and unpaid interest, if any, on, and (z) the consideration due upon conversion of, this Note at the place, at the respective times, at the rate and in the lawful money or shares of Common Stock, as the case may be, herein prescribed.</w:t>
      </w:r>
    </w:p>
    <w:p>
      <w:pPr>
        <w:spacing w:after="0" w:line="180" w:lineRule="exact"/>
        <w:rPr>
          <w:sz w:val="20"/>
          <w:szCs w:val="20"/>
          <w:color w:val="auto"/>
        </w:rPr>
      </w:pPr>
    </w:p>
    <w:p>
      <w:pPr>
        <w:ind w:firstLine="440"/>
        <w:spacing w:after="0" w:line="256" w:lineRule="auto"/>
        <w:rPr>
          <w:sz w:val="20"/>
          <w:szCs w:val="20"/>
          <w:color w:val="auto"/>
        </w:rPr>
      </w:pPr>
      <w:r>
        <w:rPr>
          <w:rFonts w:ascii="Times New Roman" w:cs="Times New Roman" w:eastAsia="Times New Roman" w:hAnsi="Times New Roman"/>
          <w:sz w:val="18"/>
          <w:szCs w:val="18"/>
          <w:color w:val="auto"/>
        </w:rPr>
        <w:t>The Notes are issuable in registered form without coupons in denominations of $1,000 principal amount and integral multiples thereof. At the office or agency of the Company referred to on the face hereof, and in the manner and subject to the limitations provided in the Indenture, Notes may be exchanged for a like aggregate principal amount of Notes of other authorized denominations, without payment of any service charge but, if required by the Company or Trustee, with payment of a sum sufficient to cover any transfer or similar tax that may be imposed in connection therewith as a result of the name of the Holder of the new Notes issued upon such exchange of Notes being different from the name of the Holder of the old Notes surrendered for such exchange.</w:t>
      </w:r>
    </w:p>
    <w:p>
      <w:pPr>
        <w:spacing w:after="0" w:line="187" w:lineRule="exact"/>
        <w:rPr>
          <w:sz w:val="20"/>
          <w:szCs w:val="20"/>
          <w:color w:val="auto"/>
        </w:rPr>
      </w:pPr>
    </w:p>
    <w:p>
      <w:pPr>
        <w:ind w:right="440" w:firstLine="440"/>
        <w:spacing w:after="0" w:line="282" w:lineRule="auto"/>
        <w:rPr>
          <w:sz w:val="20"/>
          <w:szCs w:val="20"/>
          <w:color w:val="auto"/>
        </w:rPr>
      </w:pPr>
      <w:r>
        <w:rPr>
          <w:rFonts w:ascii="Times New Roman" w:cs="Times New Roman" w:eastAsia="Times New Roman" w:hAnsi="Times New Roman"/>
          <w:sz w:val="18"/>
          <w:szCs w:val="18"/>
          <w:color w:val="auto"/>
        </w:rPr>
        <w:t>The Notes shall be redeemable at the Company’s option on or after June 20, 2029 in accordance with the terms and subject to the conditions specified in the Indenture. No sinking fund is provided for the Notes.</w:t>
      </w:r>
    </w:p>
    <w:p>
      <w:pPr>
        <w:spacing w:after="0" w:line="162" w:lineRule="exact"/>
        <w:rPr>
          <w:sz w:val="20"/>
          <w:szCs w:val="20"/>
          <w:color w:val="auto"/>
        </w:rPr>
      </w:pPr>
    </w:p>
    <w:p>
      <w:pPr>
        <w:ind w:right="160" w:firstLine="440"/>
        <w:spacing w:after="0" w:line="266" w:lineRule="auto"/>
        <w:rPr>
          <w:sz w:val="20"/>
          <w:szCs w:val="20"/>
          <w:color w:val="auto"/>
        </w:rPr>
      </w:pPr>
      <w:r>
        <w:rPr>
          <w:rFonts w:ascii="Times New Roman" w:cs="Times New Roman" w:eastAsia="Times New Roman" w:hAnsi="Times New Roman"/>
          <w:sz w:val="18"/>
          <w:szCs w:val="18"/>
          <w:color w:val="auto"/>
        </w:rPr>
        <w:t>Upon the occurrence of a Fundamental Change prior to the Maturity Date, the Holder has the right, at such Holder’s option, to require the Company to repurchase for cash all of such Holder’s Notes or any portion thereof (in principal amounts of $1,000 or integral multiples thereof) on the Fundamental Change Repurchase Date at a price equal to the Fundamental Change Repurchase Price.</w:t>
      </w:r>
    </w:p>
    <w:p>
      <w:pPr>
        <w:spacing w:after="0" w:line="176" w:lineRule="exact"/>
        <w:rPr>
          <w:sz w:val="20"/>
          <w:szCs w:val="20"/>
          <w:color w:val="auto"/>
        </w:rPr>
      </w:pPr>
    </w:p>
    <w:p>
      <w:pPr>
        <w:ind w:right="20" w:firstLine="440"/>
        <w:spacing w:after="0" w:line="282" w:lineRule="auto"/>
        <w:rPr>
          <w:sz w:val="20"/>
          <w:szCs w:val="20"/>
          <w:color w:val="auto"/>
        </w:rPr>
      </w:pPr>
      <w:r>
        <w:rPr>
          <w:rFonts w:ascii="Times New Roman" w:cs="Times New Roman" w:eastAsia="Times New Roman" w:hAnsi="Times New Roman"/>
          <w:sz w:val="18"/>
          <w:szCs w:val="18"/>
          <w:color w:val="auto"/>
        </w:rPr>
        <w:t>The Holder has the right, at such Holder’s option, to require the Company to repurchase for cash all of such Holder’s Notes or any portion thereof (in principal amounts of $1,000 or integral multiples thereof) on June 15, 2029 at a price equal to the Repurchase Price.</w:t>
      </w:r>
    </w:p>
    <w:p>
      <w:pPr>
        <w:spacing w:after="0" w:line="162" w:lineRule="exact"/>
        <w:rPr>
          <w:sz w:val="20"/>
          <w:szCs w:val="20"/>
          <w:color w:val="auto"/>
        </w:rPr>
      </w:pPr>
    </w:p>
    <w:p>
      <w:pPr>
        <w:ind w:right="100" w:firstLine="440"/>
        <w:spacing w:after="0" w:line="281" w:lineRule="auto"/>
        <w:rPr>
          <w:sz w:val="20"/>
          <w:szCs w:val="20"/>
          <w:color w:val="auto"/>
        </w:rPr>
      </w:pPr>
      <w:r>
        <w:rPr>
          <w:rFonts w:ascii="Times New Roman" w:cs="Times New Roman" w:eastAsia="Times New Roman" w:hAnsi="Times New Roman"/>
          <w:sz w:val="17"/>
          <w:szCs w:val="17"/>
          <w:color w:val="auto"/>
        </w:rPr>
        <w:t>Subject to the provisions of the Indenture, the Holder hereof has the right, at its option, during certain periods and upon the occurrence of certain conditions specified in the Indenture, prior to the close of business on the second Scheduled Trading Day immediately preceding the Maturity Date, to convert any Notes or portion thereof that is $1,000 or an integral multiple thereof, into cash, shares of Common Stock or a combination of cash and shares of Common Stock, as applicable, at the Conversion Rate specified in the Indenture, as adjusted from time to time as provided in the Indenture.</w:t>
      </w:r>
    </w:p>
    <w:p>
      <w:pPr>
        <w:spacing w:after="0" w:line="97"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A-8</w:t>
      </w:r>
    </w:p>
    <w:p>
      <w:pPr>
        <w:sectPr>
          <w:pgSz w:w="11900" w:h="16838" w:orient="portrait"/>
          <w:cols w:equalWidth="0" w:num="1">
            <w:col w:w="10960"/>
          </w:cols>
          <w:pgMar w:left="440" w:top="270" w:right="499" w:bottom="1440" w:gutter="0" w:footer="0" w:header="0"/>
        </w:sectPr>
      </w:pPr>
    </w:p>
    <w:bookmarkStart w:id="117" w:name="page118"/>
    <w:bookmarkEnd w:id="117"/>
    <w:p>
      <w:pPr>
        <w:jc w:val="center"/>
        <w:ind w:right="-519"/>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4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ABBREVIATIONS</w:t>
      </w:r>
    </w:p>
    <w:p>
      <w:pPr>
        <w:spacing w:after="0" w:line="225" w:lineRule="exact"/>
        <w:rPr>
          <w:sz w:val="20"/>
          <w:szCs w:val="20"/>
          <w:color w:val="auto"/>
        </w:rPr>
      </w:pPr>
    </w:p>
    <w:p>
      <w:pPr>
        <w:ind w:firstLine="440"/>
        <w:spacing w:after="0" w:line="282" w:lineRule="auto"/>
        <w:rPr>
          <w:sz w:val="20"/>
          <w:szCs w:val="20"/>
          <w:color w:val="auto"/>
        </w:rPr>
      </w:pPr>
      <w:r>
        <w:rPr>
          <w:rFonts w:ascii="Times New Roman" w:cs="Times New Roman" w:eastAsia="Times New Roman" w:hAnsi="Times New Roman"/>
          <w:sz w:val="18"/>
          <w:szCs w:val="18"/>
          <w:color w:val="auto"/>
        </w:rPr>
        <w:t>The following abbreviations, when used in the inscription of the face of this Note, shall be construed as though they were written out in full according to applicable laws or regulations:</w:t>
      </w:r>
    </w:p>
    <w:p>
      <w:pPr>
        <w:spacing w:after="0" w:line="16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TEN COM = as tenants in common</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UNIF GIFT MIN ACT = Uniform Gifts to Minors Act</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CUST = Custodian</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TEN ENT = as tenants by the entireties</w:t>
      </w:r>
    </w:p>
    <w:p>
      <w:pPr>
        <w:spacing w:after="0" w:line="225" w:lineRule="exact"/>
        <w:rPr>
          <w:sz w:val="20"/>
          <w:szCs w:val="20"/>
          <w:color w:val="auto"/>
        </w:rPr>
      </w:pPr>
    </w:p>
    <w:p>
      <w:pPr>
        <w:ind w:left="440" w:right="4660" w:hanging="439"/>
        <w:spacing w:after="0" w:line="461" w:lineRule="auto"/>
        <w:rPr>
          <w:sz w:val="20"/>
          <w:szCs w:val="20"/>
          <w:color w:val="auto"/>
        </w:rPr>
      </w:pPr>
      <w:r>
        <w:rPr>
          <w:rFonts w:ascii="Times New Roman" w:cs="Times New Roman" w:eastAsia="Times New Roman" w:hAnsi="Times New Roman"/>
          <w:sz w:val="18"/>
          <w:szCs w:val="18"/>
          <w:color w:val="auto"/>
        </w:rPr>
        <w:t>JT TEN = joint tenants with right of survivorship and not as tenants in common   Additional abbreviations may also be used though not in the above list.</w:t>
      </w:r>
    </w:p>
    <w:p>
      <w:pPr>
        <w:spacing w:after="0" w:line="1" w:lineRule="exact"/>
        <w:rPr>
          <w:sz w:val="20"/>
          <w:szCs w:val="20"/>
          <w:color w:val="auto"/>
        </w:rPr>
      </w:pPr>
    </w:p>
    <w:p>
      <w:pPr>
        <w:jc w:val="center"/>
        <w:ind w:right="-519"/>
        <w:spacing w:after="0"/>
        <w:rPr>
          <w:sz w:val="20"/>
          <w:szCs w:val="20"/>
          <w:color w:val="auto"/>
        </w:rPr>
      </w:pPr>
      <w:r>
        <w:rPr>
          <w:rFonts w:ascii="Times New Roman" w:cs="Times New Roman" w:eastAsia="Times New Roman" w:hAnsi="Times New Roman"/>
          <w:sz w:val="18"/>
          <w:szCs w:val="18"/>
          <w:color w:val="auto"/>
        </w:rPr>
        <w:t>A-9</w:t>
      </w:r>
    </w:p>
    <w:p>
      <w:pPr>
        <w:sectPr>
          <w:pgSz w:w="11900" w:h="16838" w:orient="portrait"/>
          <w:cols w:equalWidth="0" w:num="1">
            <w:col w:w="10480"/>
          </w:cols>
          <w:pgMar w:left="440" w:top="270" w:right="979" w:bottom="1440" w:gutter="0" w:footer="0" w:header="0"/>
        </w:sectPr>
      </w:pPr>
    </w:p>
    <w:bookmarkStart w:id="118" w:name="page119"/>
    <w:bookmarkEnd w:id="118"/>
    <w:p>
      <w:pPr>
        <w:jc w:val="right"/>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47">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SCHEDULE A</w:t>
      </w:r>
      <w:r>
        <w:rPr>
          <w:rFonts w:ascii="Times New Roman" w:cs="Times New Roman" w:eastAsia="Times New Roman" w:hAnsi="Times New Roman"/>
          <w:sz w:val="26"/>
          <w:szCs w:val="26"/>
          <w:b w:val="1"/>
          <w:bCs w:val="1"/>
          <w:color w:val="auto"/>
          <w:vertAlign w:val="superscript"/>
        </w:rPr>
        <w:t>6</w:t>
      </w:r>
    </w:p>
    <w:p>
      <w:pPr>
        <w:spacing w:after="0" w:line="137"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SCHEDULE OF EXCHANGES OF NOTES</w:t>
      </w:r>
    </w:p>
    <w:p>
      <w:pPr>
        <w:spacing w:after="0" w:line="225"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7"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2.25% Convertible Senior Notes due 2032</w:t>
      </w:r>
    </w:p>
    <w:p>
      <w:pPr>
        <w:spacing w:after="0" w:line="207"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The initial principal amount of this Global Note is [_______] DOLLARS ($[_________]). The following increases or decreases in this Global</w:t>
      </w:r>
    </w:p>
    <w:p>
      <w:pPr>
        <w:spacing w:after="0" w:line="27"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Note have been made:</w:t>
      </w:r>
    </w:p>
    <w:p>
      <w:pPr>
        <w:spacing w:after="0" w:line="217" w:lineRule="exact"/>
        <w:rPr>
          <w:sz w:val="20"/>
          <w:szCs w:val="20"/>
          <w:color w:val="auto"/>
        </w:rPr>
      </w:pPr>
    </w:p>
    <w:tbl>
      <w:tblPr>
        <w:tblLayout w:type="fixed"/>
        <w:tblInd w:w="4" w:type="dxa"/>
        <w:tblCellMar>
          <w:top w:w="0" w:type="dxa"/>
          <w:left w:w="0" w:type="dxa"/>
          <w:bottom w:w="0" w:type="dxa"/>
          <w:right w:w="0" w:type="dxa"/>
        </w:tblCellMar>
      </w:tblPr>
      <w:tr>
        <w:trPr>
          <w:trHeight w:val="161"/>
        </w:trPr>
        <w:tc>
          <w:tcPr>
            <w:tcW w:w="1220" w:type="dxa"/>
            <w:vAlign w:val="bottom"/>
          </w:tcPr>
          <w:p>
            <w:pPr>
              <w:spacing w:after="0"/>
              <w:rPr>
                <w:sz w:val="13"/>
                <w:szCs w:val="13"/>
                <w:color w:val="auto"/>
              </w:rPr>
            </w:pPr>
          </w:p>
        </w:tc>
        <w:tc>
          <w:tcPr>
            <w:tcW w:w="130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2100" w:type="dxa"/>
            <w:vAlign w:val="bottom"/>
            <w:vMerge w:val="restart"/>
          </w:tcPr>
          <w:p>
            <w:pPr>
              <w:jc w:val="center"/>
              <w:spacing w:after="0"/>
              <w:rPr>
                <w:sz w:val="20"/>
                <w:szCs w:val="20"/>
                <w:color w:val="auto"/>
              </w:rPr>
            </w:pPr>
            <w:r>
              <w:rPr>
                <w:rFonts w:ascii="Times New Roman" w:cs="Times New Roman" w:eastAsia="Times New Roman" w:hAnsi="Times New Roman"/>
                <w:sz w:val="14"/>
                <w:szCs w:val="14"/>
                <w:color w:val="auto"/>
              </w:rPr>
              <w:t>Amount of</w:t>
            </w:r>
          </w:p>
        </w:tc>
        <w:tc>
          <w:tcPr>
            <w:tcW w:w="100" w:type="dxa"/>
            <w:vAlign w:val="bottom"/>
          </w:tcPr>
          <w:p>
            <w:pPr>
              <w:spacing w:after="0"/>
              <w:rPr>
                <w:sz w:val="13"/>
                <w:szCs w:val="13"/>
                <w:color w:val="auto"/>
              </w:rPr>
            </w:pPr>
          </w:p>
        </w:tc>
        <w:tc>
          <w:tcPr>
            <w:tcW w:w="2100" w:type="dxa"/>
            <w:vAlign w:val="bottom"/>
            <w:vMerge w:val="restart"/>
          </w:tcPr>
          <w:p>
            <w:pPr>
              <w:jc w:val="center"/>
              <w:spacing w:after="0"/>
              <w:rPr>
                <w:sz w:val="20"/>
                <w:szCs w:val="20"/>
                <w:color w:val="auto"/>
              </w:rPr>
            </w:pPr>
            <w:r>
              <w:rPr>
                <w:rFonts w:ascii="Times New Roman" w:cs="Times New Roman" w:eastAsia="Times New Roman" w:hAnsi="Times New Roman"/>
                <w:sz w:val="14"/>
                <w:szCs w:val="14"/>
                <w:color w:val="auto"/>
              </w:rPr>
              <w:t>Amount of</w:t>
            </w:r>
          </w:p>
        </w:tc>
        <w:tc>
          <w:tcPr>
            <w:tcW w:w="360" w:type="dxa"/>
            <w:vAlign w:val="bottom"/>
          </w:tcPr>
          <w:p>
            <w:pPr>
              <w:spacing w:after="0"/>
              <w:rPr>
                <w:sz w:val="13"/>
                <w:szCs w:val="13"/>
                <w:color w:val="auto"/>
              </w:rPr>
            </w:pPr>
          </w:p>
        </w:tc>
        <w:tc>
          <w:tcPr>
            <w:tcW w:w="1760" w:type="dxa"/>
            <w:vAlign w:val="bottom"/>
          </w:tcPr>
          <w:p>
            <w:pPr>
              <w:jc w:val="center"/>
              <w:spacing w:after="0"/>
              <w:rPr>
                <w:sz w:val="20"/>
                <w:szCs w:val="20"/>
                <w:color w:val="auto"/>
              </w:rPr>
            </w:pPr>
            <w:r>
              <w:rPr>
                <w:rFonts w:ascii="Times New Roman" w:cs="Times New Roman" w:eastAsia="Times New Roman" w:hAnsi="Times New Roman"/>
                <w:sz w:val="14"/>
                <w:szCs w:val="14"/>
                <w:color w:val="auto"/>
              </w:rPr>
              <w:t>Principal amount</w:t>
            </w:r>
          </w:p>
        </w:tc>
        <w:tc>
          <w:tcPr>
            <w:tcW w:w="100" w:type="dxa"/>
            <w:vAlign w:val="bottom"/>
          </w:tcPr>
          <w:p>
            <w:pPr>
              <w:spacing w:after="0"/>
              <w:rPr>
                <w:sz w:val="13"/>
                <w:szCs w:val="13"/>
                <w:color w:val="auto"/>
              </w:rPr>
            </w:pPr>
          </w:p>
        </w:tc>
        <w:tc>
          <w:tcPr>
            <w:tcW w:w="1880" w:type="dxa"/>
            <w:vAlign w:val="bottom"/>
          </w:tcPr>
          <w:p>
            <w:pPr>
              <w:jc w:val="center"/>
              <w:spacing w:after="0"/>
              <w:rPr>
                <w:sz w:val="20"/>
                <w:szCs w:val="20"/>
                <w:color w:val="auto"/>
              </w:rPr>
            </w:pPr>
            <w:r>
              <w:rPr>
                <w:rFonts w:ascii="Times New Roman" w:cs="Times New Roman" w:eastAsia="Times New Roman" w:hAnsi="Times New Roman"/>
                <w:sz w:val="14"/>
                <w:szCs w:val="14"/>
                <w:color w:val="auto"/>
              </w:rPr>
              <w:t>Signature of</w:t>
            </w:r>
          </w:p>
        </w:tc>
        <w:tc>
          <w:tcPr>
            <w:tcW w:w="0" w:type="dxa"/>
            <w:vAlign w:val="bottom"/>
          </w:tcPr>
          <w:p>
            <w:pPr>
              <w:spacing w:after="0"/>
              <w:rPr>
                <w:sz w:val="1"/>
                <w:szCs w:val="1"/>
                <w:color w:val="auto"/>
              </w:rPr>
            </w:pPr>
          </w:p>
        </w:tc>
      </w:tr>
      <w:tr>
        <w:trPr>
          <w:trHeight w:val="148"/>
        </w:trPr>
        <w:tc>
          <w:tcPr>
            <w:tcW w:w="1220" w:type="dxa"/>
            <w:vAlign w:val="bottom"/>
          </w:tcPr>
          <w:p>
            <w:pPr>
              <w:spacing w:after="0"/>
              <w:rPr>
                <w:sz w:val="12"/>
                <w:szCs w:val="12"/>
                <w:color w:val="auto"/>
              </w:rPr>
            </w:pPr>
          </w:p>
        </w:tc>
        <w:tc>
          <w:tcPr>
            <w:tcW w:w="130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2100" w:type="dxa"/>
            <w:vAlign w:val="bottom"/>
            <w:vMerge w:val="continue"/>
          </w:tcPr>
          <w:p>
            <w:pPr>
              <w:spacing w:after="0"/>
              <w:rPr>
                <w:sz w:val="12"/>
                <w:szCs w:val="12"/>
                <w:color w:val="auto"/>
              </w:rPr>
            </w:pPr>
          </w:p>
        </w:tc>
        <w:tc>
          <w:tcPr>
            <w:tcW w:w="100" w:type="dxa"/>
            <w:vAlign w:val="bottom"/>
          </w:tcPr>
          <w:p>
            <w:pPr>
              <w:spacing w:after="0"/>
              <w:rPr>
                <w:sz w:val="12"/>
                <w:szCs w:val="12"/>
                <w:color w:val="auto"/>
              </w:rPr>
            </w:pPr>
          </w:p>
        </w:tc>
        <w:tc>
          <w:tcPr>
            <w:tcW w:w="2100" w:type="dxa"/>
            <w:vAlign w:val="bottom"/>
            <w:vMerge w:val="continue"/>
          </w:tcPr>
          <w:p>
            <w:pPr>
              <w:spacing w:after="0"/>
              <w:rPr>
                <w:sz w:val="12"/>
                <w:szCs w:val="12"/>
                <w:color w:val="auto"/>
              </w:rPr>
            </w:pPr>
          </w:p>
        </w:tc>
        <w:tc>
          <w:tcPr>
            <w:tcW w:w="360" w:type="dxa"/>
            <w:vAlign w:val="bottom"/>
          </w:tcPr>
          <w:p>
            <w:pPr>
              <w:spacing w:after="0"/>
              <w:rPr>
                <w:sz w:val="12"/>
                <w:szCs w:val="12"/>
                <w:color w:val="auto"/>
              </w:rPr>
            </w:pPr>
          </w:p>
        </w:tc>
        <w:tc>
          <w:tcPr>
            <w:tcW w:w="176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color w:val="auto"/>
              </w:rPr>
              <w:t>of this Global Note</w:t>
            </w:r>
          </w:p>
        </w:tc>
        <w:tc>
          <w:tcPr>
            <w:tcW w:w="100" w:type="dxa"/>
            <w:vAlign w:val="bottom"/>
          </w:tcPr>
          <w:p>
            <w:pPr>
              <w:spacing w:after="0"/>
              <w:rPr>
                <w:sz w:val="12"/>
                <w:szCs w:val="12"/>
                <w:color w:val="auto"/>
              </w:rPr>
            </w:pPr>
          </w:p>
        </w:tc>
        <w:tc>
          <w:tcPr>
            <w:tcW w:w="188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color w:val="auto"/>
              </w:rPr>
              <w:t>authorized</w:t>
            </w:r>
          </w:p>
        </w:tc>
        <w:tc>
          <w:tcPr>
            <w:tcW w:w="0" w:type="dxa"/>
            <w:vAlign w:val="bottom"/>
          </w:tcPr>
          <w:p>
            <w:pPr>
              <w:spacing w:after="0"/>
              <w:rPr>
                <w:sz w:val="1"/>
                <w:szCs w:val="1"/>
                <w:color w:val="auto"/>
              </w:rPr>
            </w:pPr>
          </w:p>
        </w:tc>
      </w:tr>
      <w:tr>
        <w:trPr>
          <w:trHeight w:val="149"/>
        </w:trPr>
        <w:tc>
          <w:tcPr>
            <w:tcW w:w="1220" w:type="dxa"/>
            <w:vAlign w:val="bottom"/>
          </w:tcPr>
          <w:p>
            <w:pPr>
              <w:spacing w:after="0"/>
              <w:rPr>
                <w:sz w:val="12"/>
                <w:szCs w:val="12"/>
                <w:color w:val="auto"/>
              </w:rPr>
            </w:pPr>
          </w:p>
        </w:tc>
        <w:tc>
          <w:tcPr>
            <w:tcW w:w="130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210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color w:val="auto"/>
              </w:rPr>
              <w:t>decrease in</w:t>
            </w:r>
          </w:p>
        </w:tc>
        <w:tc>
          <w:tcPr>
            <w:tcW w:w="100" w:type="dxa"/>
            <w:vAlign w:val="bottom"/>
          </w:tcPr>
          <w:p>
            <w:pPr>
              <w:spacing w:after="0"/>
              <w:rPr>
                <w:sz w:val="12"/>
                <w:szCs w:val="12"/>
                <w:color w:val="auto"/>
              </w:rPr>
            </w:pPr>
          </w:p>
        </w:tc>
        <w:tc>
          <w:tcPr>
            <w:tcW w:w="210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color w:val="auto"/>
              </w:rPr>
              <w:t>increase in</w:t>
            </w:r>
          </w:p>
        </w:tc>
        <w:tc>
          <w:tcPr>
            <w:tcW w:w="360" w:type="dxa"/>
            <w:vAlign w:val="bottom"/>
          </w:tcPr>
          <w:p>
            <w:pPr>
              <w:spacing w:after="0"/>
              <w:rPr>
                <w:sz w:val="12"/>
                <w:szCs w:val="12"/>
                <w:color w:val="auto"/>
              </w:rPr>
            </w:pPr>
          </w:p>
        </w:tc>
        <w:tc>
          <w:tcPr>
            <w:tcW w:w="176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color w:val="auto"/>
              </w:rPr>
              <w:t>following such</w:t>
            </w:r>
          </w:p>
        </w:tc>
        <w:tc>
          <w:tcPr>
            <w:tcW w:w="100" w:type="dxa"/>
            <w:vAlign w:val="bottom"/>
          </w:tcPr>
          <w:p>
            <w:pPr>
              <w:spacing w:after="0"/>
              <w:rPr>
                <w:sz w:val="12"/>
                <w:szCs w:val="12"/>
                <w:color w:val="auto"/>
              </w:rPr>
            </w:pPr>
          </w:p>
        </w:tc>
        <w:tc>
          <w:tcPr>
            <w:tcW w:w="188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color w:val="auto"/>
              </w:rPr>
              <w:t>signatory of</w:t>
            </w:r>
          </w:p>
        </w:tc>
        <w:tc>
          <w:tcPr>
            <w:tcW w:w="0" w:type="dxa"/>
            <w:vAlign w:val="bottom"/>
          </w:tcPr>
          <w:p>
            <w:pPr>
              <w:spacing w:after="0"/>
              <w:rPr>
                <w:sz w:val="1"/>
                <w:szCs w:val="1"/>
                <w:color w:val="auto"/>
              </w:rPr>
            </w:pPr>
          </w:p>
        </w:tc>
      </w:tr>
      <w:tr>
        <w:trPr>
          <w:trHeight w:val="148"/>
        </w:trPr>
        <w:tc>
          <w:tcPr>
            <w:tcW w:w="2520" w:type="dxa"/>
            <w:vAlign w:val="bottom"/>
            <w:gridSpan w:val="2"/>
            <w:vMerge w:val="restart"/>
          </w:tcPr>
          <w:p>
            <w:pPr>
              <w:spacing w:after="0"/>
              <w:rPr>
                <w:sz w:val="20"/>
                <w:szCs w:val="20"/>
                <w:color w:val="auto"/>
              </w:rPr>
            </w:pPr>
            <w:r>
              <w:rPr>
                <w:rFonts w:ascii="Times New Roman" w:cs="Times New Roman" w:eastAsia="Times New Roman" w:hAnsi="Times New Roman"/>
                <w:sz w:val="14"/>
                <w:szCs w:val="14"/>
                <w:color w:val="auto"/>
              </w:rPr>
              <w:t>Date of exchange</w:t>
            </w:r>
          </w:p>
        </w:tc>
        <w:tc>
          <w:tcPr>
            <w:tcW w:w="100" w:type="dxa"/>
            <w:vAlign w:val="bottom"/>
          </w:tcPr>
          <w:p>
            <w:pPr>
              <w:spacing w:after="0"/>
              <w:rPr>
                <w:sz w:val="12"/>
                <w:szCs w:val="12"/>
                <w:color w:val="auto"/>
              </w:rPr>
            </w:pPr>
          </w:p>
        </w:tc>
        <w:tc>
          <w:tcPr>
            <w:tcW w:w="210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color w:val="auto"/>
              </w:rPr>
              <w:t>principal amount</w:t>
            </w:r>
          </w:p>
        </w:tc>
        <w:tc>
          <w:tcPr>
            <w:tcW w:w="100" w:type="dxa"/>
            <w:vAlign w:val="bottom"/>
          </w:tcPr>
          <w:p>
            <w:pPr>
              <w:spacing w:after="0"/>
              <w:rPr>
                <w:sz w:val="12"/>
                <w:szCs w:val="12"/>
                <w:color w:val="auto"/>
              </w:rPr>
            </w:pPr>
          </w:p>
        </w:tc>
        <w:tc>
          <w:tcPr>
            <w:tcW w:w="210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color w:val="auto"/>
              </w:rPr>
              <w:t>principal amount</w:t>
            </w:r>
          </w:p>
        </w:tc>
        <w:tc>
          <w:tcPr>
            <w:tcW w:w="360" w:type="dxa"/>
            <w:vAlign w:val="bottom"/>
          </w:tcPr>
          <w:p>
            <w:pPr>
              <w:spacing w:after="0"/>
              <w:rPr>
                <w:sz w:val="12"/>
                <w:szCs w:val="12"/>
                <w:color w:val="auto"/>
              </w:rPr>
            </w:pPr>
          </w:p>
        </w:tc>
        <w:tc>
          <w:tcPr>
            <w:tcW w:w="176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color w:val="auto"/>
              </w:rPr>
              <w:t>decrease or</w:t>
            </w:r>
          </w:p>
        </w:tc>
        <w:tc>
          <w:tcPr>
            <w:tcW w:w="100" w:type="dxa"/>
            <w:vAlign w:val="bottom"/>
          </w:tcPr>
          <w:p>
            <w:pPr>
              <w:spacing w:after="0"/>
              <w:rPr>
                <w:sz w:val="12"/>
                <w:szCs w:val="12"/>
                <w:color w:val="auto"/>
              </w:rPr>
            </w:pPr>
          </w:p>
        </w:tc>
        <w:tc>
          <w:tcPr>
            <w:tcW w:w="188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color w:val="auto"/>
              </w:rPr>
              <w:t>Trustee or</w:t>
            </w:r>
          </w:p>
        </w:tc>
        <w:tc>
          <w:tcPr>
            <w:tcW w:w="0" w:type="dxa"/>
            <w:vAlign w:val="bottom"/>
          </w:tcPr>
          <w:p>
            <w:pPr>
              <w:spacing w:after="0"/>
              <w:rPr>
                <w:sz w:val="1"/>
                <w:szCs w:val="1"/>
                <w:color w:val="auto"/>
              </w:rPr>
            </w:pPr>
          </w:p>
        </w:tc>
      </w:tr>
      <w:tr>
        <w:trPr>
          <w:trHeight w:val="185"/>
        </w:trPr>
        <w:tc>
          <w:tcPr>
            <w:tcW w:w="2520" w:type="dxa"/>
            <w:vAlign w:val="bottom"/>
            <w:tcBorders>
              <w:bottom w:val="single" w:sz="8" w:color="auto"/>
            </w:tcBorders>
            <w:gridSpan w:val="2"/>
            <w:vMerge w:val="continue"/>
          </w:tcPr>
          <w:p>
            <w:pPr>
              <w:spacing w:after="0"/>
              <w:rPr>
                <w:sz w:val="16"/>
                <w:szCs w:val="16"/>
                <w:color w:val="auto"/>
              </w:rPr>
            </w:pPr>
          </w:p>
        </w:tc>
        <w:tc>
          <w:tcPr>
            <w:tcW w:w="100" w:type="dxa"/>
            <w:vAlign w:val="bottom"/>
          </w:tcPr>
          <w:p>
            <w:pPr>
              <w:spacing w:after="0"/>
              <w:rPr>
                <w:sz w:val="16"/>
                <w:szCs w:val="16"/>
                <w:color w:val="auto"/>
              </w:rPr>
            </w:pPr>
          </w:p>
        </w:tc>
        <w:tc>
          <w:tcPr>
            <w:tcW w:w="210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color w:val="auto"/>
              </w:rPr>
              <w:t>of this Global Note</w:t>
            </w:r>
          </w:p>
        </w:tc>
        <w:tc>
          <w:tcPr>
            <w:tcW w:w="100" w:type="dxa"/>
            <w:vAlign w:val="bottom"/>
          </w:tcPr>
          <w:p>
            <w:pPr>
              <w:spacing w:after="0"/>
              <w:rPr>
                <w:sz w:val="16"/>
                <w:szCs w:val="16"/>
                <w:color w:val="auto"/>
              </w:rPr>
            </w:pPr>
          </w:p>
        </w:tc>
        <w:tc>
          <w:tcPr>
            <w:tcW w:w="210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color w:val="auto"/>
              </w:rPr>
              <w:t>of this Global Note</w:t>
            </w:r>
          </w:p>
        </w:tc>
        <w:tc>
          <w:tcPr>
            <w:tcW w:w="360" w:type="dxa"/>
            <w:vAlign w:val="bottom"/>
          </w:tcPr>
          <w:p>
            <w:pPr>
              <w:spacing w:after="0"/>
              <w:rPr>
                <w:sz w:val="16"/>
                <w:szCs w:val="16"/>
                <w:color w:val="auto"/>
              </w:rPr>
            </w:pPr>
          </w:p>
        </w:tc>
        <w:tc>
          <w:tcPr>
            <w:tcW w:w="176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color w:val="auto"/>
              </w:rPr>
              <w:t>increase</w:t>
            </w:r>
          </w:p>
        </w:tc>
        <w:tc>
          <w:tcPr>
            <w:tcW w:w="100" w:type="dxa"/>
            <w:vAlign w:val="bottom"/>
          </w:tcPr>
          <w:p>
            <w:pPr>
              <w:spacing w:after="0"/>
              <w:rPr>
                <w:sz w:val="16"/>
                <w:szCs w:val="16"/>
                <w:color w:val="auto"/>
              </w:rPr>
            </w:pPr>
          </w:p>
        </w:tc>
        <w:tc>
          <w:tcPr>
            <w:tcW w:w="188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color w:val="auto"/>
              </w:rPr>
              <w:t>Custodian</w:t>
            </w:r>
          </w:p>
        </w:tc>
        <w:tc>
          <w:tcPr>
            <w:tcW w:w="0" w:type="dxa"/>
            <w:vAlign w:val="bottom"/>
          </w:tcPr>
          <w:p>
            <w:pPr>
              <w:spacing w:after="0"/>
              <w:rPr>
                <w:sz w:val="1"/>
                <w:szCs w:val="1"/>
                <w:color w:val="auto"/>
              </w:rPr>
            </w:pPr>
          </w:p>
        </w:tc>
      </w:tr>
      <w:tr>
        <w:trPr>
          <w:trHeight w:val="210"/>
        </w:trPr>
        <w:tc>
          <w:tcPr>
            <w:tcW w:w="1220" w:type="dxa"/>
            <w:vAlign w:val="bottom"/>
            <w:tcBorders>
              <w:bottom w:val="single" w:sz="8" w:color="auto"/>
            </w:tcBorders>
          </w:tcPr>
          <w:p>
            <w:pPr>
              <w:spacing w:after="0"/>
              <w:rPr>
                <w:sz w:val="18"/>
                <w:szCs w:val="18"/>
                <w:color w:val="auto"/>
              </w:rPr>
            </w:pPr>
          </w:p>
        </w:tc>
        <w:tc>
          <w:tcPr>
            <w:tcW w:w="1300" w:type="dxa"/>
            <w:vAlign w:val="bottom"/>
            <w:tcBorders>
              <w:bottom w:val="single" w:sz="8" w:color="auto"/>
            </w:tcBorders>
          </w:tcPr>
          <w:p>
            <w:pPr>
              <w:spacing w:after="0"/>
              <w:rPr>
                <w:sz w:val="18"/>
                <w:szCs w:val="18"/>
                <w:color w:val="auto"/>
              </w:rPr>
            </w:pPr>
          </w:p>
        </w:tc>
        <w:tc>
          <w:tcPr>
            <w:tcW w:w="100" w:type="dxa"/>
            <w:vAlign w:val="bottom"/>
          </w:tcPr>
          <w:p>
            <w:pPr>
              <w:spacing w:after="0"/>
              <w:rPr>
                <w:sz w:val="18"/>
                <w:szCs w:val="18"/>
                <w:color w:val="auto"/>
              </w:rPr>
            </w:pPr>
          </w:p>
        </w:tc>
        <w:tc>
          <w:tcPr>
            <w:tcW w:w="2100" w:type="dxa"/>
            <w:vAlign w:val="bottom"/>
            <w:tcBorders>
              <w:bottom w:val="single" w:sz="8" w:color="auto"/>
            </w:tcBorders>
          </w:tcPr>
          <w:p>
            <w:pPr>
              <w:spacing w:after="0"/>
              <w:rPr>
                <w:sz w:val="18"/>
                <w:szCs w:val="18"/>
                <w:color w:val="auto"/>
              </w:rPr>
            </w:pPr>
          </w:p>
        </w:tc>
        <w:tc>
          <w:tcPr>
            <w:tcW w:w="100" w:type="dxa"/>
            <w:vAlign w:val="bottom"/>
          </w:tcPr>
          <w:p>
            <w:pPr>
              <w:spacing w:after="0"/>
              <w:rPr>
                <w:sz w:val="18"/>
                <w:szCs w:val="18"/>
                <w:color w:val="auto"/>
              </w:rPr>
            </w:pPr>
          </w:p>
        </w:tc>
        <w:tc>
          <w:tcPr>
            <w:tcW w:w="2100" w:type="dxa"/>
            <w:vAlign w:val="bottom"/>
            <w:tcBorders>
              <w:bottom w:val="single" w:sz="8" w:color="auto"/>
            </w:tcBorders>
          </w:tcPr>
          <w:p>
            <w:pPr>
              <w:spacing w:after="0"/>
              <w:rPr>
                <w:sz w:val="18"/>
                <w:szCs w:val="18"/>
                <w:color w:val="auto"/>
              </w:rPr>
            </w:pPr>
          </w:p>
        </w:tc>
        <w:tc>
          <w:tcPr>
            <w:tcW w:w="360" w:type="dxa"/>
            <w:vAlign w:val="bottom"/>
          </w:tcPr>
          <w:p>
            <w:pPr>
              <w:spacing w:after="0"/>
              <w:rPr>
                <w:sz w:val="18"/>
                <w:szCs w:val="18"/>
                <w:color w:val="auto"/>
              </w:rPr>
            </w:pPr>
          </w:p>
        </w:tc>
        <w:tc>
          <w:tcPr>
            <w:tcW w:w="1760" w:type="dxa"/>
            <w:vAlign w:val="bottom"/>
            <w:tcBorders>
              <w:bottom w:val="single" w:sz="8" w:color="auto"/>
            </w:tcBorders>
          </w:tcPr>
          <w:p>
            <w:pPr>
              <w:spacing w:after="0"/>
              <w:rPr>
                <w:sz w:val="18"/>
                <w:szCs w:val="18"/>
                <w:color w:val="auto"/>
              </w:rPr>
            </w:pPr>
          </w:p>
        </w:tc>
        <w:tc>
          <w:tcPr>
            <w:tcW w:w="100" w:type="dxa"/>
            <w:vAlign w:val="bottom"/>
          </w:tcPr>
          <w:p>
            <w:pPr>
              <w:spacing w:after="0"/>
              <w:rPr>
                <w:sz w:val="18"/>
                <w:szCs w:val="18"/>
                <w:color w:val="auto"/>
              </w:rPr>
            </w:pPr>
          </w:p>
        </w:tc>
        <w:tc>
          <w:tcPr>
            <w:tcW w:w="1880" w:type="dxa"/>
            <w:vAlign w:val="bottom"/>
            <w:tcBorders>
              <w:bottom w:val="single" w:sz="8" w:color="auto"/>
            </w:tcBorders>
          </w:tcPr>
          <w:p>
            <w:pPr>
              <w:spacing w:after="0"/>
              <w:rPr>
                <w:sz w:val="18"/>
                <w:szCs w:val="18"/>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13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360" w:type="dxa"/>
            <w:vAlign w:val="bottom"/>
          </w:tcPr>
          <w:p>
            <w:pPr>
              <w:spacing w:after="0"/>
              <w:rPr>
                <w:sz w:val="19"/>
                <w:szCs w:val="19"/>
                <w:color w:val="auto"/>
              </w:rPr>
            </w:pPr>
          </w:p>
        </w:tc>
        <w:tc>
          <w:tcPr>
            <w:tcW w:w="176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88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13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360" w:type="dxa"/>
            <w:vAlign w:val="bottom"/>
          </w:tcPr>
          <w:p>
            <w:pPr>
              <w:spacing w:after="0"/>
              <w:rPr>
                <w:sz w:val="19"/>
                <w:szCs w:val="19"/>
                <w:color w:val="auto"/>
              </w:rPr>
            </w:pPr>
          </w:p>
        </w:tc>
        <w:tc>
          <w:tcPr>
            <w:tcW w:w="176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88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13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360" w:type="dxa"/>
            <w:vAlign w:val="bottom"/>
          </w:tcPr>
          <w:p>
            <w:pPr>
              <w:spacing w:after="0"/>
              <w:rPr>
                <w:sz w:val="19"/>
                <w:szCs w:val="19"/>
                <w:color w:val="auto"/>
              </w:rPr>
            </w:pPr>
          </w:p>
        </w:tc>
        <w:tc>
          <w:tcPr>
            <w:tcW w:w="176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88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13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360" w:type="dxa"/>
            <w:vAlign w:val="bottom"/>
          </w:tcPr>
          <w:p>
            <w:pPr>
              <w:spacing w:after="0"/>
              <w:rPr>
                <w:sz w:val="19"/>
                <w:szCs w:val="19"/>
                <w:color w:val="auto"/>
              </w:rPr>
            </w:pPr>
          </w:p>
        </w:tc>
        <w:tc>
          <w:tcPr>
            <w:tcW w:w="176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88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13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360" w:type="dxa"/>
            <w:vAlign w:val="bottom"/>
          </w:tcPr>
          <w:p>
            <w:pPr>
              <w:spacing w:after="0"/>
              <w:rPr>
                <w:sz w:val="19"/>
                <w:szCs w:val="19"/>
                <w:color w:val="auto"/>
              </w:rPr>
            </w:pPr>
          </w:p>
        </w:tc>
        <w:tc>
          <w:tcPr>
            <w:tcW w:w="176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88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13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360" w:type="dxa"/>
            <w:vAlign w:val="bottom"/>
          </w:tcPr>
          <w:p>
            <w:pPr>
              <w:spacing w:after="0"/>
              <w:rPr>
                <w:sz w:val="19"/>
                <w:szCs w:val="19"/>
                <w:color w:val="auto"/>
              </w:rPr>
            </w:pPr>
          </w:p>
        </w:tc>
        <w:tc>
          <w:tcPr>
            <w:tcW w:w="176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88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13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360" w:type="dxa"/>
            <w:vAlign w:val="bottom"/>
          </w:tcPr>
          <w:p>
            <w:pPr>
              <w:spacing w:after="0"/>
              <w:rPr>
                <w:sz w:val="19"/>
                <w:szCs w:val="19"/>
                <w:color w:val="auto"/>
              </w:rPr>
            </w:pPr>
          </w:p>
        </w:tc>
        <w:tc>
          <w:tcPr>
            <w:tcW w:w="176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88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13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360" w:type="dxa"/>
            <w:vAlign w:val="bottom"/>
          </w:tcPr>
          <w:p>
            <w:pPr>
              <w:spacing w:after="0"/>
              <w:rPr>
                <w:sz w:val="19"/>
                <w:szCs w:val="19"/>
                <w:color w:val="auto"/>
              </w:rPr>
            </w:pPr>
          </w:p>
        </w:tc>
        <w:tc>
          <w:tcPr>
            <w:tcW w:w="176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88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13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360" w:type="dxa"/>
            <w:vAlign w:val="bottom"/>
          </w:tcPr>
          <w:p>
            <w:pPr>
              <w:spacing w:after="0"/>
              <w:rPr>
                <w:sz w:val="19"/>
                <w:szCs w:val="19"/>
                <w:color w:val="auto"/>
              </w:rPr>
            </w:pPr>
          </w:p>
        </w:tc>
        <w:tc>
          <w:tcPr>
            <w:tcW w:w="176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88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13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360" w:type="dxa"/>
            <w:vAlign w:val="bottom"/>
          </w:tcPr>
          <w:p>
            <w:pPr>
              <w:spacing w:after="0"/>
              <w:rPr>
                <w:sz w:val="19"/>
                <w:szCs w:val="19"/>
                <w:color w:val="auto"/>
              </w:rPr>
            </w:pPr>
          </w:p>
        </w:tc>
        <w:tc>
          <w:tcPr>
            <w:tcW w:w="176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88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13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360" w:type="dxa"/>
            <w:vAlign w:val="bottom"/>
          </w:tcPr>
          <w:p>
            <w:pPr>
              <w:spacing w:after="0"/>
              <w:rPr>
                <w:sz w:val="19"/>
                <w:szCs w:val="19"/>
                <w:color w:val="auto"/>
              </w:rPr>
            </w:pPr>
          </w:p>
        </w:tc>
        <w:tc>
          <w:tcPr>
            <w:tcW w:w="176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88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13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360" w:type="dxa"/>
            <w:vAlign w:val="bottom"/>
          </w:tcPr>
          <w:p>
            <w:pPr>
              <w:spacing w:after="0"/>
              <w:rPr>
                <w:sz w:val="19"/>
                <w:szCs w:val="19"/>
                <w:color w:val="auto"/>
              </w:rPr>
            </w:pPr>
          </w:p>
        </w:tc>
        <w:tc>
          <w:tcPr>
            <w:tcW w:w="176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88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13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360" w:type="dxa"/>
            <w:vAlign w:val="bottom"/>
          </w:tcPr>
          <w:p>
            <w:pPr>
              <w:spacing w:after="0"/>
              <w:rPr>
                <w:sz w:val="19"/>
                <w:szCs w:val="19"/>
                <w:color w:val="auto"/>
              </w:rPr>
            </w:pPr>
          </w:p>
        </w:tc>
        <w:tc>
          <w:tcPr>
            <w:tcW w:w="176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88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13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360" w:type="dxa"/>
            <w:vAlign w:val="bottom"/>
          </w:tcPr>
          <w:p>
            <w:pPr>
              <w:spacing w:after="0"/>
              <w:rPr>
                <w:sz w:val="19"/>
                <w:szCs w:val="19"/>
                <w:color w:val="auto"/>
              </w:rPr>
            </w:pPr>
          </w:p>
        </w:tc>
        <w:tc>
          <w:tcPr>
            <w:tcW w:w="176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88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13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360" w:type="dxa"/>
            <w:vAlign w:val="bottom"/>
          </w:tcPr>
          <w:p>
            <w:pPr>
              <w:spacing w:after="0"/>
              <w:rPr>
                <w:sz w:val="19"/>
                <w:szCs w:val="19"/>
                <w:color w:val="auto"/>
              </w:rPr>
            </w:pPr>
          </w:p>
        </w:tc>
        <w:tc>
          <w:tcPr>
            <w:tcW w:w="176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88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13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360" w:type="dxa"/>
            <w:vAlign w:val="bottom"/>
          </w:tcPr>
          <w:p>
            <w:pPr>
              <w:spacing w:after="0"/>
              <w:rPr>
                <w:sz w:val="19"/>
                <w:szCs w:val="19"/>
                <w:color w:val="auto"/>
              </w:rPr>
            </w:pPr>
          </w:p>
        </w:tc>
        <w:tc>
          <w:tcPr>
            <w:tcW w:w="176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88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13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360" w:type="dxa"/>
            <w:vAlign w:val="bottom"/>
          </w:tcPr>
          <w:p>
            <w:pPr>
              <w:spacing w:after="0"/>
              <w:rPr>
                <w:sz w:val="19"/>
                <w:szCs w:val="19"/>
                <w:color w:val="auto"/>
              </w:rPr>
            </w:pPr>
          </w:p>
        </w:tc>
        <w:tc>
          <w:tcPr>
            <w:tcW w:w="176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88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13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360" w:type="dxa"/>
            <w:vAlign w:val="bottom"/>
          </w:tcPr>
          <w:p>
            <w:pPr>
              <w:spacing w:after="0"/>
              <w:rPr>
                <w:sz w:val="19"/>
                <w:szCs w:val="19"/>
                <w:color w:val="auto"/>
              </w:rPr>
            </w:pPr>
          </w:p>
        </w:tc>
        <w:tc>
          <w:tcPr>
            <w:tcW w:w="176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88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13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360" w:type="dxa"/>
            <w:vAlign w:val="bottom"/>
          </w:tcPr>
          <w:p>
            <w:pPr>
              <w:spacing w:after="0"/>
              <w:rPr>
                <w:sz w:val="19"/>
                <w:szCs w:val="19"/>
                <w:color w:val="auto"/>
              </w:rPr>
            </w:pPr>
          </w:p>
        </w:tc>
        <w:tc>
          <w:tcPr>
            <w:tcW w:w="176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88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13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360" w:type="dxa"/>
            <w:vAlign w:val="bottom"/>
          </w:tcPr>
          <w:p>
            <w:pPr>
              <w:spacing w:after="0"/>
              <w:rPr>
                <w:sz w:val="19"/>
                <w:szCs w:val="19"/>
                <w:color w:val="auto"/>
              </w:rPr>
            </w:pPr>
          </w:p>
        </w:tc>
        <w:tc>
          <w:tcPr>
            <w:tcW w:w="176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88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13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100" w:type="dxa"/>
            <w:vAlign w:val="bottom"/>
            <w:tcBorders>
              <w:bottom w:val="single" w:sz="8" w:color="auto"/>
            </w:tcBorders>
          </w:tcPr>
          <w:p>
            <w:pPr>
              <w:spacing w:after="0"/>
              <w:rPr>
                <w:sz w:val="19"/>
                <w:szCs w:val="19"/>
                <w:color w:val="auto"/>
              </w:rPr>
            </w:pPr>
          </w:p>
        </w:tc>
        <w:tc>
          <w:tcPr>
            <w:tcW w:w="360" w:type="dxa"/>
            <w:vAlign w:val="bottom"/>
          </w:tcPr>
          <w:p>
            <w:pPr>
              <w:spacing w:after="0"/>
              <w:rPr>
                <w:sz w:val="19"/>
                <w:szCs w:val="19"/>
                <w:color w:val="auto"/>
              </w:rPr>
            </w:pPr>
          </w:p>
        </w:tc>
        <w:tc>
          <w:tcPr>
            <w:tcW w:w="176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88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77"/>
        </w:trPr>
        <w:tc>
          <w:tcPr>
            <w:tcW w:w="1220" w:type="dxa"/>
            <w:vAlign w:val="bottom"/>
            <w:tcBorders>
              <w:bottom w:val="single" w:sz="8" w:color="auto"/>
            </w:tcBorders>
          </w:tcPr>
          <w:p>
            <w:pPr>
              <w:spacing w:after="0"/>
              <w:rPr>
                <w:sz w:val="24"/>
                <w:szCs w:val="24"/>
                <w:color w:val="auto"/>
              </w:rPr>
            </w:pPr>
          </w:p>
        </w:tc>
        <w:tc>
          <w:tcPr>
            <w:tcW w:w="130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210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2100" w:type="dxa"/>
            <w:vAlign w:val="bottom"/>
          </w:tcPr>
          <w:p>
            <w:pPr>
              <w:spacing w:after="0"/>
              <w:rPr>
                <w:sz w:val="24"/>
                <w:szCs w:val="24"/>
                <w:color w:val="auto"/>
              </w:rPr>
            </w:pPr>
          </w:p>
        </w:tc>
        <w:tc>
          <w:tcPr>
            <w:tcW w:w="360" w:type="dxa"/>
            <w:vAlign w:val="bottom"/>
          </w:tcPr>
          <w:p>
            <w:pPr>
              <w:spacing w:after="0"/>
              <w:rPr>
                <w:sz w:val="24"/>
                <w:szCs w:val="24"/>
                <w:color w:val="auto"/>
              </w:rPr>
            </w:pPr>
          </w:p>
        </w:tc>
        <w:tc>
          <w:tcPr>
            <w:tcW w:w="176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1880" w:type="dxa"/>
            <w:vAlign w:val="bottom"/>
          </w:tcPr>
          <w:p>
            <w:pPr>
              <w:spacing w:after="0"/>
              <w:rPr>
                <w:sz w:val="24"/>
                <w:szCs w:val="24"/>
                <w:color w:val="auto"/>
              </w:rPr>
            </w:pPr>
          </w:p>
        </w:tc>
        <w:tc>
          <w:tcPr>
            <w:tcW w:w="0" w:type="dxa"/>
            <w:vAlign w:val="bottom"/>
          </w:tcPr>
          <w:p>
            <w:pPr>
              <w:spacing w:after="0"/>
              <w:rPr>
                <w:sz w:val="1"/>
                <w:szCs w:val="1"/>
                <w:color w:val="auto"/>
              </w:rPr>
            </w:pPr>
          </w:p>
        </w:tc>
      </w:tr>
    </w:tbl>
    <w:p>
      <w:pPr>
        <w:ind w:left="424" w:hanging="424"/>
        <w:spacing w:after="0" w:line="187" w:lineRule="auto"/>
        <w:tabs>
          <w:tab w:leader="none" w:pos="424" w:val="left"/>
        </w:tabs>
        <w:numPr>
          <w:ilvl w:val="0"/>
          <w:numId w:val="107"/>
        </w:numPr>
        <w:rPr>
          <w:rFonts w:ascii="Times New Roman" w:cs="Times New Roman" w:eastAsia="Times New Roman" w:hAnsi="Times New Roman"/>
          <w:sz w:val="27"/>
          <w:szCs w:val="27"/>
          <w:b w:val="1"/>
          <w:bCs w:val="1"/>
          <w:color w:val="auto"/>
          <w:vertAlign w:val="superscript"/>
        </w:rPr>
      </w:pPr>
      <w:r>
        <w:rPr>
          <w:rFonts w:ascii="Times New Roman" w:cs="Times New Roman" w:eastAsia="Times New Roman" w:hAnsi="Times New Roman"/>
          <w:sz w:val="18"/>
          <w:szCs w:val="18"/>
          <w:b w:val="1"/>
          <w:bCs w:val="1"/>
          <w:color w:val="auto"/>
        </w:rPr>
        <w:t>Include if a global note.</w:t>
      </w:r>
    </w:p>
    <w:p>
      <w:pPr>
        <w:spacing w:after="0" w:line="131"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A-10</w:t>
      </w:r>
    </w:p>
    <w:p>
      <w:pPr>
        <w:sectPr>
          <w:pgSz w:w="11900" w:h="16838" w:orient="portrait"/>
          <w:cols w:equalWidth="0" w:num="1">
            <w:col w:w="11024"/>
          </w:cols>
          <w:pgMar w:left="436" w:top="266" w:right="439" w:bottom="1440" w:gutter="0" w:footer="0" w:header="0"/>
        </w:sectPr>
      </w:pPr>
    </w:p>
    <w:bookmarkStart w:id="119" w:name="page120"/>
    <w:bookmarkEnd w:id="119"/>
    <w:p>
      <w:pPr>
        <w:jc w:val="right"/>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48">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ATTACHMENT 1</w:t>
      </w:r>
    </w:p>
    <w:p>
      <w:pPr>
        <w:spacing w:after="0" w:line="229" w:lineRule="exact"/>
        <w:rPr>
          <w:sz w:val="20"/>
          <w:szCs w:val="20"/>
          <w:color w:val="auto"/>
        </w:rPr>
      </w:pPr>
    </w:p>
    <w:p>
      <w:pPr>
        <w:ind w:left="3960"/>
        <w:spacing w:after="0"/>
        <w:rPr>
          <w:sz w:val="20"/>
          <w:szCs w:val="20"/>
          <w:color w:val="auto"/>
        </w:rPr>
      </w:pPr>
      <w:r>
        <w:rPr>
          <w:rFonts w:ascii="Times New Roman" w:cs="Times New Roman" w:eastAsia="Times New Roman" w:hAnsi="Times New Roman"/>
          <w:sz w:val="18"/>
          <w:szCs w:val="18"/>
          <w:color w:val="auto"/>
        </w:rPr>
        <w:t>[FORM OF NOTICE OF CONVERSION]</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To: U.S. Bank Trust Company, National Association, as Conversion Agent</w:t>
      </w:r>
    </w:p>
    <w:p>
      <w:pPr>
        <w:spacing w:after="0" w:line="225" w:lineRule="exact"/>
        <w:rPr>
          <w:sz w:val="20"/>
          <w:szCs w:val="20"/>
          <w:color w:val="auto"/>
        </w:rPr>
      </w:pPr>
    </w:p>
    <w:p>
      <w:pPr>
        <w:ind w:right="20" w:firstLine="440"/>
        <w:spacing w:after="0" w:line="254" w:lineRule="auto"/>
        <w:rPr>
          <w:sz w:val="20"/>
          <w:szCs w:val="20"/>
          <w:color w:val="auto"/>
        </w:rPr>
      </w:pPr>
      <w:r>
        <w:rPr>
          <w:rFonts w:ascii="Times New Roman" w:cs="Times New Roman" w:eastAsia="Times New Roman" w:hAnsi="Times New Roman"/>
          <w:sz w:val="18"/>
          <w:szCs w:val="18"/>
          <w:color w:val="auto"/>
        </w:rPr>
        <w:t>The undersigned registered owner of this Note hereby exercises the option to convert this Note, or the portion hereof (that is $1,000 principal amount or an integral multiple thereof) below designated, into cash, shares of Common Stock or a combination of cash and shares of Common Stock, as applicable, in accordance with the terms of the Indenture referred to in this Note, and directs that any cash payable and any shares of Common Stock issuable and deliverable upon such conversion, together with any cash for any fractional share, and any Notes representing any unconverted principal amount hereof, be issued and delivered to the registered Holder hereof unless a different name has been indicated below. If any shares of Common Stock or any portion of this Note not converted are to be issued in the name of a Person other than the undersigned, the undersigned will pay all documentary, stamp or similar issue or transfer taxes, if any in accordance with Section 14.02(d) and Section 14.02(e) of the Indenture. Any amount required to be paid to the undersigned on account of interest accompanies this Note. Capitalized terms used herein but not defined shall have the meanings ascribed to such terms in the Indenture.</w:t>
      </w:r>
    </w:p>
    <w:p>
      <w:pPr>
        <w:spacing w:after="0" w:line="215" w:lineRule="exact"/>
        <w:rPr>
          <w:sz w:val="20"/>
          <w:szCs w:val="20"/>
          <w:color w:val="auto"/>
        </w:rPr>
      </w:pPr>
    </w:p>
    <w:p>
      <w:pPr>
        <w:spacing w:after="0"/>
        <w:tabs>
          <w:tab w:leader="none" w:pos="3360" w:val="left"/>
        </w:tabs>
        <w:rPr>
          <w:sz w:val="20"/>
          <w:szCs w:val="20"/>
          <w:color w:val="auto"/>
        </w:rPr>
      </w:pPr>
      <w:r>
        <w:rPr>
          <w:rFonts w:ascii="Times New Roman" w:cs="Times New Roman" w:eastAsia="Times New Roman" w:hAnsi="Times New Roman"/>
          <w:sz w:val="18"/>
          <w:szCs w:val="18"/>
          <w:color w:val="auto"/>
        </w:rPr>
        <w:t>Dated:</w:t>
      </w:r>
      <w:r>
        <w:rPr>
          <w:sz w:val="20"/>
          <w:szCs w:val="20"/>
          <w:color w:val="auto"/>
        </w:rPr>
        <w:tab/>
      </w:r>
      <w:r>
        <w:rPr>
          <w:rFonts w:ascii="Times New Roman" w:cs="Times New Roman" w:eastAsia="Times New Roman" w:hAnsi="Times New Roman"/>
          <w:sz w:val="18"/>
          <w:szCs w:val="18"/>
          <w:color w:val="auto"/>
        </w:rPr>
        <w:t>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408940</wp:posOffset>
            </wp:positionH>
            <wp:positionV relativeFrom="paragraph">
              <wp:posOffset>17145</wp:posOffset>
            </wp:positionV>
            <wp:extent cx="4208780" cy="8255"/>
            <wp:wrapNone/>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49">
                      <a:extLst>
                        <a:ext uri="{28A0092B-C50C-407E-A947-70E740481C1C}"/>
                      </a:extLst>
                    </a:blip>
                    <a:srcRect/>
                    <a:stretch>
                      <a:fillRect/>
                    </a:stretch>
                  </pic:blipFill>
                  <pic:spPr bwMode="auto">
                    <a:xfrm>
                      <a:off x="0" y="0"/>
                      <a:ext cx="4208780" cy="8255"/>
                    </a:xfrm>
                    <a:prstGeom prst="rect">
                      <a:avLst/>
                    </a:prstGeom>
                    <a:noFill/>
                  </pic:spPr>
                </pic:pic>
              </a:graphicData>
            </a:graphic>
          </wp:anchor>
        </w:drawing>
        <w:drawing>
          <wp:anchor simplePos="0" relativeHeight="251657728" behindDoc="1" locked="0" layoutInCell="0" allowOverlap="1">
            <wp:simplePos x="0" y="0"/>
            <wp:positionH relativeFrom="column">
              <wp:posOffset>2380615</wp:posOffset>
            </wp:positionH>
            <wp:positionV relativeFrom="paragraph">
              <wp:posOffset>308610</wp:posOffset>
            </wp:positionV>
            <wp:extent cx="2237105" cy="8255"/>
            <wp:wrapNone/>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0">
                      <a:extLst>
                        <a:ext uri="{28A0092B-C50C-407E-A947-70E740481C1C}"/>
                      </a:extLst>
                    </a:blip>
                    <a:srcRect/>
                    <a:stretch>
                      <a:fillRect/>
                    </a:stretch>
                  </pic:blipFill>
                  <pic:spPr bwMode="auto">
                    <a:xfrm>
                      <a:off x="0" y="0"/>
                      <a:ext cx="2237105" cy="8255"/>
                    </a:xfrm>
                    <a:prstGeom prst="rect">
                      <a:avLst/>
                    </a:prstGeom>
                    <a:noFill/>
                  </pic:spPr>
                </pic:pic>
              </a:graphicData>
            </a:graphic>
          </wp:anchor>
        </w:drawing>
      </w:r>
    </w:p>
    <w:p>
      <w:pPr>
        <w:spacing w:after="0" w:line="200" w:lineRule="exact"/>
        <w:rPr>
          <w:sz w:val="20"/>
          <w:szCs w:val="20"/>
          <w:color w:val="auto"/>
        </w:rPr>
      </w:pPr>
    </w:p>
    <w:p>
      <w:pPr>
        <w:spacing w:after="0" w:line="275" w:lineRule="exact"/>
        <w:rPr>
          <w:sz w:val="20"/>
          <w:szCs w:val="20"/>
          <w:color w:val="auto"/>
        </w:rPr>
      </w:pPr>
    </w:p>
    <w:p>
      <w:pPr>
        <w:ind w:left="3740"/>
        <w:spacing w:after="0"/>
        <w:rPr>
          <w:sz w:val="20"/>
          <w:szCs w:val="20"/>
          <w:color w:val="auto"/>
        </w:rPr>
      </w:pPr>
      <w:r>
        <w:rPr>
          <w:rFonts w:ascii="Times New Roman" w:cs="Times New Roman" w:eastAsia="Times New Roman" w:hAnsi="Times New Roman"/>
          <w:sz w:val="18"/>
          <w:szCs w:val="18"/>
          <w:color w:val="auto"/>
        </w:rPr>
        <w:t>Signature(s)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-1905</wp:posOffset>
            </wp:positionH>
            <wp:positionV relativeFrom="paragraph">
              <wp:posOffset>291465</wp:posOffset>
            </wp:positionV>
            <wp:extent cx="2082800" cy="8255"/>
            <wp:wrapNone/>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1">
                      <a:extLst>
                        <a:ext uri="{28A0092B-C50C-407E-A947-70E740481C1C}"/>
                      </a:extLst>
                    </a:blip>
                    <a:srcRect/>
                    <a:stretch>
                      <a:fillRect/>
                    </a:stretch>
                  </pic:blipFill>
                  <pic:spPr bwMode="auto">
                    <a:xfrm>
                      <a:off x="0" y="0"/>
                      <a:ext cx="2082800" cy="8255"/>
                    </a:xfrm>
                    <a:prstGeom prst="rect">
                      <a:avLst/>
                    </a:prstGeom>
                    <a:noFill/>
                  </pic:spPr>
                </pic:pic>
              </a:graphicData>
            </a:graphic>
          </wp:anchor>
        </w:drawing>
      </w:r>
    </w:p>
    <w:p>
      <w:pPr>
        <w:spacing w:after="0" w:line="200" w:lineRule="exact"/>
        <w:rPr>
          <w:sz w:val="20"/>
          <w:szCs w:val="20"/>
          <w:color w:val="auto"/>
        </w:rPr>
      </w:pPr>
    </w:p>
    <w:p>
      <w:pPr>
        <w:spacing w:after="0" w:line="24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Signature Guarantee</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Signature(s) must be guaranteed by an</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eligible Guarantor Institution (banks, stock</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brokers, savings and loan associations and</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credit unions) with membership in an</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approved signature guarantee medallion</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program pursuant to Securities and Exchange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Commission Rule 17Ad-15 if shares of</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Common Stock are to be issued, or Notes are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to be delivered, other than to and in the name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of the registered holder.</w:t>
      </w:r>
    </w:p>
    <w:p>
      <w:pPr>
        <w:spacing w:after="0" w:line="13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w:t>
      </w:r>
    </w:p>
    <w:p>
      <w:pPr>
        <w:sectPr>
          <w:pgSz w:w="11900" w:h="16838" w:orient="portrait"/>
          <w:cols w:equalWidth="0" w:num="1">
            <w:col w:w="11020"/>
          </w:cols>
          <w:pgMar w:left="440" w:top="266" w:right="439" w:bottom="1440" w:gutter="0" w:footer="0" w:header="0"/>
        </w:sectPr>
      </w:pPr>
    </w:p>
    <w:bookmarkStart w:id="120" w:name="page121"/>
    <w:bookmarkEnd w:id="120"/>
    <w:p>
      <w:pPr>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5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Fill in for registration of shares if to be</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issued, and Notes if to be delivered, other</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than to and in the name of the registered</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holder:</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-1905</wp:posOffset>
            </wp:positionH>
            <wp:positionV relativeFrom="paragraph">
              <wp:posOffset>280035</wp:posOffset>
            </wp:positionV>
            <wp:extent cx="1962785" cy="8255"/>
            <wp:wrapNone/>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53">
                      <a:extLst>
                        <a:ext uri="{28A0092B-C50C-407E-A947-70E740481C1C}"/>
                      </a:extLst>
                    </a:blip>
                    <a:srcRect/>
                    <a:stretch>
                      <a:fillRect/>
                    </a:stretch>
                  </pic:blipFill>
                  <pic:spPr bwMode="auto">
                    <a:xfrm>
                      <a:off x="0" y="0"/>
                      <a:ext cx="1962785" cy="8255"/>
                    </a:xfrm>
                    <a:prstGeom prst="rect">
                      <a:avLst/>
                    </a:prstGeom>
                    <a:noFill/>
                  </pic:spPr>
                </pic:pic>
              </a:graphicData>
            </a:graphic>
          </wp:anchor>
        </w:drawing>
      </w:r>
    </w:p>
    <w:p>
      <w:pPr>
        <w:spacing w:after="0" w:line="200" w:lineRule="exact"/>
        <w:rPr>
          <w:sz w:val="20"/>
          <w:szCs w:val="20"/>
          <w:color w:val="auto"/>
        </w:rPr>
      </w:pPr>
    </w:p>
    <w:p>
      <w:pPr>
        <w:spacing w:after="0" w:line="23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(Name)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-1905</wp:posOffset>
            </wp:positionH>
            <wp:positionV relativeFrom="paragraph">
              <wp:posOffset>291465</wp:posOffset>
            </wp:positionV>
            <wp:extent cx="1962785" cy="8255"/>
            <wp:wrapNone/>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54">
                      <a:extLst>
                        <a:ext uri="{28A0092B-C50C-407E-A947-70E740481C1C}"/>
                      </a:extLst>
                    </a:blip>
                    <a:srcRect/>
                    <a:stretch>
                      <a:fillRect/>
                    </a:stretch>
                  </pic:blipFill>
                  <pic:spPr bwMode="auto">
                    <a:xfrm>
                      <a:off x="0" y="0"/>
                      <a:ext cx="1962785" cy="8255"/>
                    </a:xfrm>
                    <a:prstGeom prst="rect">
                      <a:avLst/>
                    </a:prstGeom>
                    <a:noFill/>
                  </pic:spPr>
                </pic:pic>
              </a:graphicData>
            </a:graphic>
          </wp:anchor>
        </w:drawing>
      </w:r>
    </w:p>
    <w:p>
      <w:pPr>
        <w:spacing w:after="0" w:line="200" w:lineRule="exact"/>
        <w:rPr>
          <w:sz w:val="20"/>
          <w:szCs w:val="20"/>
          <w:color w:val="auto"/>
        </w:rPr>
      </w:pPr>
    </w:p>
    <w:p>
      <w:pPr>
        <w:spacing w:after="0" w:line="24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(Street Address)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-1905</wp:posOffset>
            </wp:positionH>
            <wp:positionV relativeFrom="paragraph">
              <wp:posOffset>291465</wp:posOffset>
            </wp:positionV>
            <wp:extent cx="1962785" cy="8255"/>
            <wp:wrapNone/>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55">
                      <a:extLst>
                        <a:ext uri="{28A0092B-C50C-407E-A947-70E740481C1C}"/>
                      </a:extLst>
                    </a:blip>
                    <a:srcRect/>
                    <a:stretch>
                      <a:fillRect/>
                    </a:stretch>
                  </pic:blipFill>
                  <pic:spPr bwMode="auto">
                    <a:xfrm>
                      <a:off x="0" y="0"/>
                      <a:ext cx="1962785" cy="8255"/>
                    </a:xfrm>
                    <a:prstGeom prst="rect">
                      <a:avLst/>
                    </a:prstGeom>
                    <a:noFill/>
                  </pic:spPr>
                </pic:pic>
              </a:graphicData>
            </a:graphic>
          </wp:anchor>
        </w:drawing>
      </w:r>
    </w:p>
    <w:p>
      <w:pPr>
        <w:spacing w:after="0" w:line="200" w:lineRule="exact"/>
        <w:rPr>
          <w:sz w:val="20"/>
          <w:szCs w:val="20"/>
          <w:color w:val="auto"/>
        </w:rPr>
      </w:pPr>
    </w:p>
    <w:p>
      <w:pPr>
        <w:spacing w:after="0" w:line="24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(City, State and Zip Code)</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Please print name and address</w:t>
      </w:r>
    </w:p>
    <w:p>
      <w:pPr>
        <w:spacing w:after="0" w:line="207" w:lineRule="exact"/>
        <w:rPr>
          <w:sz w:val="20"/>
          <w:szCs w:val="20"/>
          <w:color w:val="auto"/>
        </w:rPr>
      </w:pPr>
    </w:p>
    <w:p>
      <w:pPr>
        <w:ind w:left="3200"/>
        <w:spacing w:after="0"/>
        <w:rPr>
          <w:sz w:val="20"/>
          <w:szCs w:val="20"/>
          <w:color w:val="auto"/>
        </w:rPr>
      </w:pPr>
      <w:r>
        <w:rPr>
          <w:rFonts w:ascii="Times New Roman" w:cs="Times New Roman" w:eastAsia="Times New Roman" w:hAnsi="Times New Roman"/>
          <w:sz w:val="18"/>
          <w:szCs w:val="18"/>
          <w:color w:val="auto"/>
        </w:rPr>
        <w:t>Principal amount to be converted (if less than all): $______,000</w:t>
      </w:r>
    </w:p>
    <w:p>
      <w:pPr>
        <w:spacing w:after="0" w:line="225" w:lineRule="exact"/>
        <w:rPr>
          <w:sz w:val="20"/>
          <w:szCs w:val="20"/>
          <w:color w:val="auto"/>
        </w:rPr>
      </w:pPr>
    </w:p>
    <w:p>
      <w:pPr>
        <w:ind w:left="3200"/>
        <w:spacing w:after="0" w:line="282" w:lineRule="auto"/>
        <w:rPr>
          <w:sz w:val="20"/>
          <w:szCs w:val="20"/>
          <w:color w:val="auto"/>
        </w:rPr>
      </w:pPr>
      <w:r>
        <w:rPr>
          <w:rFonts w:ascii="Times New Roman" w:cs="Times New Roman" w:eastAsia="Times New Roman" w:hAnsi="Times New Roman"/>
          <w:sz w:val="18"/>
          <w:szCs w:val="18"/>
          <w:color w:val="auto"/>
        </w:rPr>
        <w:t>NOTICE: The above signature(s) of the Holder(s) hereof must correspond with the name as written upon the face of the Note in every particular without alteration or enlargement or any change whatever.</w:t>
      </w:r>
    </w:p>
    <w:p>
      <w:pPr>
        <w:spacing w:after="0" w:line="162" w:lineRule="exact"/>
        <w:rPr>
          <w:sz w:val="20"/>
          <w:szCs w:val="20"/>
          <w:color w:val="auto"/>
        </w:rPr>
      </w:pPr>
    </w:p>
    <w:p>
      <w:pPr>
        <w:ind w:left="3200"/>
        <w:spacing w:after="0"/>
        <w:rPr>
          <w:sz w:val="20"/>
          <w:szCs w:val="20"/>
          <w:color w:val="auto"/>
        </w:rPr>
      </w:pPr>
      <w:r>
        <w:rPr>
          <w:rFonts w:ascii="Times New Roman" w:cs="Times New Roman" w:eastAsia="Times New Roman" w:hAnsi="Times New Roman"/>
          <w:sz w:val="18"/>
          <w:szCs w:val="18"/>
          <w:color w:val="auto"/>
        </w:rPr>
        <w:t xml:space="preserve">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2028825</wp:posOffset>
            </wp:positionH>
            <wp:positionV relativeFrom="paragraph">
              <wp:posOffset>-7620</wp:posOffset>
            </wp:positionV>
            <wp:extent cx="1485265" cy="8890"/>
            <wp:wrapNone/>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56">
                      <a:extLst>
                        <a:ext uri="{28A0092B-C50C-407E-A947-70E740481C1C}"/>
                      </a:extLst>
                    </a:blip>
                    <a:srcRect/>
                    <a:stretch>
                      <a:fillRect/>
                    </a:stretch>
                  </pic:blipFill>
                  <pic:spPr bwMode="auto">
                    <a:xfrm>
                      <a:off x="0" y="0"/>
                      <a:ext cx="1485265" cy="8890"/>
                    </a:xfrm>
                    <a:prstGeom prst="rect">
                      <a:avLst/>
                    </a:prstGeom>
                    <a:noFill/>
                  </pic:spPr>
                </pic:pic>
              </a:graphicData>
            </a:graphic>
          </wp:anchor>
        </w:drawing>
      </w:r>
    </w:p>
    <w:p>
      <w:pPr>
        <w:spacing w:after="0" w:line="7" w:lineRule="exact"/>
        <w:rPr>
          <w:sz w:val="20"/>
          <w:szCs w:val="20"/>
          <w:color w:val="auto"/>
        </w:rPr>
      </w:pPr>
    </w:p>
    <w:p>
      <w:pPr>
        <w:ind w:left="3200"/>
        <w:spacing w:after="0"/>
        <w:rPr>
          <w:sz w:val="20"/>
          <w:szCs w:val="20"/>
          <w:color w:val="auto"/>
        </w:rPr>
      </w:pPr>
      <w:r>
        <w:rPr>
          <w:rFonts w:ascii="Times New Roman" w:cs="Times New Roman" w:eastAsia="Times New Roman" w:hAnsi="Times New Roman"/>
          <w:sz w:val="18"/>
          <w:szCs w:val="18"/>
          <w:color w:val="auto"/>
        </w:rPr>
        <w:t>Social Security or Other Taxpayer</w:t>
      </w:r>
    </w:p>
    <w:p>
      <w:pPr>
        <w:spacing w:after="0" w:line="9" w:lineRule="exact"/>
        <w:rPr>
          <w:sz w:val="20"/>
          <w:szCs w:val="20"/>
          <w:color w:val="auto"/>
        </w:rPr>
      </w:pPr>
    </w:p>
    <w:p>
      <w:pPr>
        <w:ind w:left="3200"/>
        <w:spacing w:after="0"/>
        <w:rPr>
          <w:sz w:val="20"/>
          <w:szCs w:val="20"/>
          <w:color w:val="auto"/>
        </w:rPr>
      </w:pPr>
      <w:r>
        <w:rPr>
          <w:rFonts w:ascii="Times New Roman" w:cs="Times New Roman" w:eastAsia="Times New Roman" w:hAnsi="Times New Roman"/>
          <w:sz w:val="18"/>
          <w:szCs w:val="18"/>
          <w:color w:val="auto"/>
        </w:rPr>
        <w:t>Identification Number</w:t>
      </w:r>
    </w:p>
    <w:p>
      <w:pPr>
        <w:spacing w:after="0" w:line="274" w:lineRule="exact"/>
        <w:rPr>
          <w:sz w:val="20"/>
          <w:szCs w:val="20"/>
          <w:color w:val="auto"/>
        </w:rPr>
      </w:pPr>
    </w:p>
    <w:p>
      <w:pPr>
        <w:jc w:val="center"/>
        <w:ind w:right="-259"/>
        <w:spacing w:after="0"/>
        <w:rPr>
          <w:sz w:val="20"/>
          <w:szCs w:val="20"/>
          <w:color w:val="auto"/>
        </w:rPr>
      </w:pPr>
      <w:r>
        <w:rPr>
          <w:rFonts w:ascii="Times New Roman" w:cs="Times New Roman" w:eastAsia="Times New Roman" w:hAnsi="Times New Roman"/>
          <w:sz w:val="18"/>
          <w:szCs w:val="18"/>
          <w:color w:val="auto"/>
        </w:rPr>
        <w:t>2</w:t>
      </w:r>
    </w:p>
    <w:p>
      <w:pPr>
        <w:sectPr>
          <w:pgSz w:w="11900" w:h="16838" w:orient="portrait"/>
          <w:cols w:equalWidth="0" w:num="1">
            <w:col w:w="10760"/>
          </w:cols>
          <w:pgMar w:left="440" w:top="270" w:right="699" w:bottom="1440" w:gutter="0" w:footer="0" w:header="0"/>
        </w:sectPr>
      </w:pPr>
    </w:p>
    <w:bookmarkStart w:id="121" w:name="page122"/>
    <w:bookmarkEnd w:id="121"/>
    <w:p>
      <w:pPr>
        <w:jc w:val="right"/>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57">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ATTACHMENT 2</w:t>
      </w:r>
    </w:p>
    <w:p>
      <w:pPr>
        <w:spacing w:after="0" w:line="22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[FORM OF FUNDAMENTAL CHANGE REPURCHASE NOTICE]</w:t>
      </w:r>
    </w:p>
    <w:p>
      <w:pPr>
        <w:spacing w:after="0" w:line="33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To: U.S. Bank Trust Company, National Association, as Paying Agent</w:t>
      </w:r>
    </w:p>
    <w:p>
      <w:pPr>
        <w:spacing w:after="0" w:line="113" w:lineRule="exact"/>
        <w:rPr>
          <w:sz w:val="20"/>
          <w:szCs w:val="20"/>
          <w:color w:val="auto"/>
        </w:rPr>
      </w:pPr>
    </w:p>
    <w:p>
      <w:pPr>
        <w:ind w:right="40" w:firstLine="440"/>
        <w:spacing w:after="0" w:line="256" w:lineRule="auto"/>
        <w:rPr>
          <w:sz w:val="20"/>
          <w:szCs w:val="20"/>
          <w:color w:val="auto"/>
        </w:rPr>
      </w:pPr>
      <w:r>
        <w:rPr>
          <w:rFonts w:ascii="Times New Roman" w:cs="Times New Roman" w:eastAsia="Times New Roman" w:hAnsi="Times New Roman"/>
          <w:sz w:val="18"/>
          <w:szCs w:val="18"/>
          <w:color w:val="auto"/>
        </w:rPr>
        <w:t>The undersigned registered owner of this Note hereby acknowledges receipt of a notice from MicroStrategy Incorporated (the “</w:t>
      </w:r>
      <w:r>
        <w:rPr>
          <w:rFonts w:ascii="Times New Roman" w:cs="Times New Roman" w:eastAsia="Times New Roman" w:hAnsi="Times New Roman"/>
          <w:sz w:val="18"/>
          <w:szCs w:val="18"/>
          <w:b w:val="1"/>
          <w:bCs w:val="1"/>
          <w:color w:val="auto"/>
        </w:rPr>
        <w:t>Company</w:t>
      </w:r>
      <w:r>
        <w:rPr>
          <w:rFonts w:ascii="Times New Roman" w:cs="Times New Roman" w:eastAsia="Times New Roman" w:hAnsi="Times New Roman"/>
          <w:sz w:val="18"/>
          <w:szCs w:val="18"/>
          <w:color w:val="auto"/>
        </w:rPr>
        <w:t>”) as to the occurrence of a Fundamental Change with respect to the Company and specifying the Fundamental Change Repurchase Date and requests and instructs the Company to pay to the registered holder hereof in accordance with Section 15.02 of the Indenture referred to in this Note (1) the entire principal amount of this Note, or the portion thereof (that is $1,000 principal amount or an integral multiple thereof) below designated, and (2) if such Fundamental Change Repurchase Date does not fall during the period after a Regular Record Date and on or prior to the corresponding Interest Payment Date, accrued and unpaid interest, if any, thereon to, but excluding, such Fundamental Change Repurchase Date. Capitalized terms used herein but not defined shall have the meanings ascribed to such terms in the Indenture.</w:t>
      </w:r>
    </w:p>
    <w:p>
      <w:pPr>
        <w:spacing w:after="0" w:line="187"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In the case of Physical Notes, the certificate numbers of the Notes to be repurchased are as set forth below:</w:t>
      </w:r>
    </w:p>
    <w:p>
      <w:pPr>
        <w:spacing w:after="0" w:line="25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Dated:   _____________________</w:t>
      </w:r>
    </w:p>
    <w:p>
      <w:pPr>
        <w:spacing w:after="0" w:line="225" w:lineRule="exact"/>
        <w:rPr>
          <w:sz w:val="20"/>
          <w:szCs w:val="20"/>
          <w:color w:val="auto"/>
        </w:rPr>
      </w:pPr>
    </w:p>
    <w:p>
      <w:pPr>
        <w:ind w:left="2980"/>
        <w:spacing w:after="0"/>
        <w:rPr>
          <w:sz w:val="20"/>
          <w:szCs w:val="20"/>
          <w:color w:val="auto"/>
        </w:rPr>
      </w:pPr>
      <w:r>
        <w:rPr>
          <w:rFonts w:ascii="Times New Roman" w:cs="Times New Roman" w:eastAsia="Times New Roman" w:hAnsi="Times New Roman"/>
          <w:sz w:val="18"/>
          <w:szCs w:val="18"/>
          <w:color w:val="auto"/>
        </w:rPr>
        <w:t xml:space="preserve">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1891665</wp:posOffset>
            </wp:positionH>
            <wp:positionV relativeFrom="paragraph">
              <wp:posOffset>-7620</wp:posOffset>
            </wp:positionV>
            <wp:extent cx="1942465" cy="8890"/>
            <wp:wrapNone/>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58">
                      <a:extLst>
                        <a:ext uri="{28A0092B-C50C-407E-A947-70E740481C1C}"/>
                      </a:extLst>
                    </a:blip>
                    <a:srcRect/>
                    <a:stretch>
                      <a:fillRect/>
                    </a:stretch>
                  </pic:blipFill>
                  <pic:spPr bwMode="auto">
                    <a:xfrm>
                      <a:off x="0" y="0"/>
                      <a:ext cx="1942465" cy="8890"/>
                    </a:xfrm>
                    <a:prstGeom prst="rect">
                      <a:avLst/>
                    </a:prstGeom>
                    <a:noFill/>
                  </pic:spPr>
                </pic:pic>
              </a:graphicData>
            </a:graphic>
          </wp:anchor>
        </w:drawing>
      </w:r>
    </w:p>
    <w:p>
      <w:pPr>
        <w:spacing w:after="0" w:line="7" w:lineRule="exact"/>
        <w:rPr>
          <w:sz w:val="20"/>
          <w:szCs w:val="20"/>
          <w:color w:val="auto"/>
        </w:rPr>
      </w:pPr>
    </w:p>
    <w:p>
      <w:pPr>
        <w:ind w:left="2980"/>
        <w:spacing w:after="0"/>
        <w:rPr>
          <w:sz w:val="20"/>
          <w:szCs w:val="20"/>
          <w:color w:val="auto"/>
        </w:rPr>
      </w:pPr>
      <w:r>
        <w:rPr>
          <w:rFonts w:ascii="Times New Roman" w:cs="Times New Roman" w:eastAsia="Times New Roman" w:hAnsi="Times New Roman"/>
          <w:sz w:val="18"/>
          <w:szCs w:val="18"/>
          <w:color w:val="auto"/>
        </w:rPr>
        <w:t>Signature(s)</w:t>
      </w:r>
    </w:p>
    <w:p>
      <w:pPr>
        <w:spacing w:after="0" w:line="207" w:lineRule="exact"/>
        <w:rPr>
          <w:sz w:val="20"/>
          <w:szCs w:val="20"/>
          <w:color w:val="auto"/>
        </w:rPr>
      </w:pPr>
    </w:p>
    <w:p>
      <w:pPr>
        <w:ind w:left="2980"/>
        <w:spacing w:after="0"/>
        <w:rPr>
          <w:sz w:val="20"/>
          <w:szCs w:val="20"/>
          <w:color w:val="auto"/>
        </w:rPr>
      </w:pPr>
      <w:r>
        <w:rPr>
          <w:rFonts w:ascii="Times New Roman" w:cs="Times New Roman" w:eastAsia="Times New Roman" w:hAnsi="Times New Roman"/>
          <w:sz w:val="18"/>
          <w:szCs w:val="18"/>
          <w:color w:val="auto"/>
        </w:rPr>
        <w:t xml:space="preserve">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1891665</wp:posOffset>
            </wp:positionH>
            <wp:positionV relativeFrom="paragraph">
              <wp:posOffset>-7620</wp:posOffset>
            </wp:positionV>
            <wp:extent cx="1485265" cy="8255"/>
            <wp:wrapNone/>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59">
                      <a:extLst>
                        <a:ext uri="{28A0092B-C50C-407E-A947-70E740481C1C}"/>
                      </a:extLst>
                    </a:blip>
                    <a:srcRect/>
                    <a:stretch>
                      <a:fillRect/>
                    </a:stretch>
                  </pic:blipFill>
                  <pic:spPr bwMode="auto">
                    <a:xfrm>
                      <a:off x="0" y="0"/>
                      <a:ext cx="1485265" cy="8255"/>
                    </a:xfrm>
                    <a:prstGeom prst="rect">
                      <a:avLst/>
                    </a:prstGeom>
                    <a:noFill/>
                  </pic:spPr>
                </pic:pic>
              </a:graphicData>
            </a:graphic>
          </wp:anchor>
        </w:drawing>
      </w:r>
    </w:p>
    <w:p>
      <w:pPr>
        <w:spacing w:after="0" w:line="7" w:lineRule="exact"/>
        <w:rPr>
          <w:sz w:val="20"/>
          <w:szCs w:val="20"/>
          <w:color w:val="auto"/>
        </w:rPr>
      </w:pPr>
    </w:p>
    <w:p>
      <w:pPr>
        <w:ind w:left="2980"/>
        <w:spacing w:after="0"/>
        <w:rPr>
          <w:sz w:val="20"/>
          <w:szCs w:val="20"/>
          <w:color w:val="auto"/>
        </w:rPr>
      </w:pPr>
      <w:r>
        <w:rPr>
          <w:rFonts w:ascii="Times New Roman" w:cs="Times New Roman" w:eastAsia="Times New Roman" w:hAnsi="Times New Roman"/>
          <w:sz w:val="18"/>
          <w:szCs w:val="18"/>
          <w:color w:val="auto"/>
        </w:rPr>
        <w:t>Social Security or Other Taxpayer</w:t>
      </w:r>
    </w:p>
    <w:p>
      <w:pPr>
        <w:spacing w:after="0" w:line="9" w:lineRule="exact"/>
        <w:rPr>
          <w:sz w:val="20"/>
          <w:szCs w:val="20"/>
          <w:color w:val="auto"/>
        </w:rPr>
      </w:pPr>
    </w:p>
    <w:p>
      <w:pPr>
        <w:ind w:left="2980"/>
        <w:spacing w:after="0"/>
        <w:rPr>
          <w:sz w:val="20"/>
          <w:szCs w:val="20"/>
          <w:color w:val="auto"/>
        </w:rPr>
      </w:pPr>
      <w:r>
        <w:rPr>
          <w:rFonts w:ascii="Times New Roman" w:cs="Times New Roman" w:eastAsia="Times New Roman" w:hAnsi="Times New Roman"/>
          <w:sz w:val="18"/>
          <w:szCs w:val="18"/>
          <w:color w:val="auto"/>
        </w:rPr>
        <w:t>Identification Number</w:t>
      </w:r>
    </w:p>
    <w:p>
      <w:pPr>
        <w:spacing w:after="0" w:line="207" w:lineRule="exact"/>
        <w:rPr>
          <w:sz w:val="20"/>
          <w:szCs w:val="20"/>
          <w:color w:val="auto"/>
        </w:rPr>
      </w:pPr>
    </w:p>
    <w:p>
      <w:pPr>
        <w:ind w:left="2980"/>
        <w:spacing w:after="0"/>
        <w:rPr>
          <w:sz w:val="20"/>
          <w:szCs w:val="20"/>
          <w:color w:val="auto"/>
        </w:rPr>
      </w:pPr>
      <w:r>
        <w:rPr>
          <w:rFonts w:ascii="Times New Roman" w:cs="Times New Roman" w:eastAsia="Times New Roman" w:hAnsi="Times New Roman"/>
          <w:sz w:val="18"/>
          <w:szCs w:val="18"/>
          <w:color w:val="auto"/>
        </w:rPr>
        <w:t>Principal amount to be repurchased (if less than all): $______,000</w:t>
      </w:r>
    </w:p>
    <w:p>
      <w:pPr>
        <w:spacing w:after="0" w:line="225" w:lineRule="exact"/>
        <w:rPr>
          <w:sz w:val="20"/>
          <w:szCs w:val="20"/>
          <w:color w:val="auto"/>
        </w:rPr>
      </w:pPr>
    </w:p>
    <w:p>
      <w:pPr>
        <w:ind w:left="2980" w:right="220"/>
        <w:spacing w:after="0" w:line="282" w:lineRule="auto"/>
        <w:rPr>
          <w:sz w:val="20"/>
          <w:szCs w:val="20"/>
          <w:color w:val="auto"/>
        </w:rPr>
      </w:pPr>
      <w:r>
        <w:rPr>
          <w:rFonts w:ascii="Times New Roman" w:cs="Times New Roman" w:eastAsia="Times New Roman" w:hAnsi="Times New Roman"/>
          <w:sz w:val="18"/>
          <w:szCs w:val="18"/>
          <w:color w:val="auto"/>
        </w:rPr>
        <w:t>NOTICE: The above signature(s) of the Holder(s) hereof must correspond with the name as written upon the face of the Note in every particular without alteration or enlargement or any change whatever.</w:t>
      </w:r>
    </w:p>
    <w:p>
      <w:pPr>
        <w:spacing w:after="0" w:line="21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w:t>
      </w:r>
    </w:p>
    <w:p>
      <w:pPr>
        <w:sectPr>
          <w:pgSz w:w="11900" w:h="16838" w:orient="portrait"/>
          <w:cols w:equalWidth="0" w:num="1">
            <w:col w:w="11020"/>
          </w:cols>
          <w:pgMar w:left="440" w:top="266" w:right="439" w:bottom="1440" w:gutter="0" w:footer="0" w:header="0"/>
        </w:sectPr>
      </w:pPr>
    </w:p>
    <w:bookmarkStart w:id="122" w:name="page123"/>
    <w:bookmarkEnd w:id="122"/>
    <w:p>
      <w:pPr>
        <w:jc w:val="right"/>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60">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ATTACHMENT 3</w:t>
      </w:r>
    </w:p>
    <w:p>
      <w:pPr>
        <w:spacing w:after="0" w:line="22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[FORM OF REPURCHASE NOTICE]</w:t>
      </w:r>
    </w:p>
    <w:p>
      <w:pPr>
        <w:spacing w:after="0" w:line="374" w:lineRule="exact"/>
        <w:rPr>
          <w:sz w:val="20"/>
          <w:szCs w:val="20"/>
          <w:color w:val="auto"/>
        </w:rPr>
      </w:pPr>
    </w:p>
    <w:p>
      <w:pPr>
        <w:spacing w:after="0"/>
        <w:tabs>
          <w:tab w:leader="none" w:pos="400" w:val="left"/>
        </w:tabs>
        <w:rPr>
          <w:sz w:val="20"/>
          <w:szCs w:val="20"/>
          <w:color w:val="auto"/>
        </w:rPr>
      </w:pPr>
      <w:r>
        <w:rPr>
          <w:rFonts w:ascii="Times New Roman" w:cs="Times New Roman" w:eastAsia="Times New Roman" w:hAnsi="Times New Roman"/>
          <w:sz w:val="18"/>
          <w:szCs w:val="18"/>
          <w:color w:val="auto"/>
        </w:rPr>
        <w:t>To:</w:t>
        <w:tab/>
        <w:t>MicroStrategy Incorporated</w:t>
      </w:r>
    </w:p>
    <w:p>
      <w:pPr>
        <w:spacing w:after="0" w:line="117"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U.S. Bank Trust Company, National Association, as Paying Agent</w:t>
      </w:r>
    </w:p>
    <w:p>
      <w:pPr>
        <w:spacing w:after="0" w:line="22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The undersigned registered owner of this Note hereby acknowledges receipt of a notice from MicroStrategy Incorporated (the “</w:t>
      </w:r>
      <w:r>
        <w:rPr>
          <w:rFonts w:ascii="Times New Roman" w:cs="Times New Roman" w:eastAsia="Times New Roman" w:hAnsi="Times New Roman"/>
          <w:sz w:val="18"/>
          <w:szCs w:val="18"/>
          <w:b w:val="1"/>
          <w:bCs w:val="1"/>
          <w:color w:val="auto"/>
        </w:rPr>
        <w:t>Company</w:t>
      </w:r>
      <w:r>
        <w:rPr>
          <w:rFonts w:ascii="Times New Roman" w:cs="Times New Roman" w:eastAsia="Times New Roman" w:hAnsi="Times New Roman"/>
          <w:sz w:val="18"/>
          <w:szCs w:val="18"/>
          <w:color w:val="auto"/>
        </w:rPr>
        <w:t>”)</w:t>
      </w:r>
    </w:p>
    <w:p>
      <w:pPr>
        <w:spacing w:after="0" w:line="3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regarding the right of Holders to elect to require the Company to repurchase the entire principal amount of this Note, or the portion thereof (that is</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$1,000 principal amount or an integral multiple thereof) below designated, in accordance with the applicable provisions of the Indenture referred to in</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this Note, at the Repurchase Price to the registered Holder hereof. Capitalized terms used herein but not defined shall have the meanings ascribed to</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such terms in the Indenture.</w:t>
      </w:r>
    </w:p>
    <w:p>
      <w:pPr>
        <w:spacing w:after="0" w:line="207"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In the case of certificated Notes, the certificate numbers of the Notes to be purchased are as set forth below:</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Certificate Number(s): _____________________</w:t>
      </w:r>
    </w:p>
    <w:p>
      <w:pPr>
        <w:spacing w:after="0" w:line="25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Dated:   _____________________</w:t>
      </w:r>
    </w:p>
    <w:p>
      <w:pPr>
        <w:spacing w:after="0" w:line="225" w:lineRule="exact"/>
        <w:rPr>
          <w:sz w:val="20"/>
          <w:szCs w:val="20"/>
          <w:color w:val="auto"/>
        </w:rPr>
      </w:pPr>
    </w:p>
    <w:p>
      <w:pPr>
        <w:ind w:left="2980"/>
        <w:spacing w:after="0"/>
        <w:rPr>
          <w:sz w:val="20"/>
          <w:szCs w:val="20"/>
          <w:color w:val="auto"/>
        </w:rPr>
      </w:pPr>
      <w:r>
        <w:rPr>
          <w:rFonts w:ascii="Times New Roman" w:cs="Times New Roman" w:eastAsia="Times New Roman" w:hAnsi="Times New Roman"/>
          <w:sz w:val="18"/>
          <w:szCs w:val="18"/>
          <w:color w:val="auto"/>
        </w:rPr>
        <w:t xml:space="preserve">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1891665</wp:posOffset>
            </wp:positionH>
            <wp:positionV relativeFrom="paragraph">
              <wp:posOffset>-7620</wp:posOffset>
            </wp:positionV>
            <wp:extent cx="1942465" cy="8890"/>
            <wp:wrapNone/>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61">
                      <a:extLst>
                        <a:ext uri="{28A0092B-C50C-407E-A947-70E740481C1C}"/>
                      </a:extLst>
                    </a:blip>
                    <a:srcRect/>
                    <a:stretch>
                      <a:fillRect/>
                    </a:stretch>
                  </pic:blipFill>
                  <pic:spPr bwMode="auto">
                    <a:xfrm>
                      <a:off x="0" y="0"/>
                      <a:ext cx="1942465" cy="8890"/>
                    </a:xfrm>
                    <a:prstGeom prst="rect">
                      <a:avLst/>
                    </a:prstGeom>
                    <a:noFill/>
                  </pic:spPr>
                </pic:pic>
              </a:graphicData>
            </a:graphic>
          </wp:anchor>
        </w:drawing>
      </w:r>
    </w:p>
    <w:p>
      <w:pPr>
        <w:spacing w:after="0" w:line="7" w:lineRule="exact"/>
        <w:rPr>
          <w:sz w:val="20"/>
          <w:szCs w:val="20"/>
          <w:color w:val="auto"/>
        </w:rPr>
      </w:pPr>
    </w:p>
    <w:p>
      <w:pPr>
        <w:ind w:left="2980"/>
        <w:spacing w:after="0"/>
        <w:rPr>
          <w:sz w:val="20"/>
          <w:szCs w:val="20"/>
          <w:color w:val="auto"/>
        </w:rPr>
      </w:pPr>
      <w:r>
        <w:rPr>
          <w:rFonts w:ascii="Times New Roman" w:cs="Times New Roman" w:eastAsia="Times New Roman" w:hAnsi="Times New Roman"/>
          <w:sz w:val="18"/>
          <w:szCs w:val="18"/>
          <w:color w:val="auto"/>
        </w:rPr>
        <w:t>Signature(s)</w:t>
      </w:r>
    </w:p>
    <w:p>
      <w:pPr>
        <w:spacing w:after="0" w:line="207" w:lineRule="exact"/>
        <w:rPr>
          <w:sz w:val="20"/>
          <w:szCs w:val="20"/>
          <w:color w:val="auto"/>
        </w:rPr>
      </w:pPr>
    </w:p>
    <w:p>
      <w:pPr>
        <w:ind w:left="2980"/>
        <w:spacing w:after="0"/>
        <w:rPr>
          <w:sz w:val="20"/>
          <w:szCs w:val="20"/>
          <w:color w:val="auto"/>
        </w:rPr>
      </w:pPr>
      <w:r>
        <w:rPr>
          <w:rFonts w:ascii="Times New Roman" w:cs="Times New Roman" w:eastAsia="Times New Roman" w:hAnsi="Times New Roman"/>
          <w:sz w:val="18"/>
          <w:szCs w:val="18"/>
          <w:color w:val="auto"/>
        </w:rPr>
        <w:t xml:space="preserve">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1891665</wp:posOffset>
            </wp:positionH>
            <wp:positionV relativeFrom="paragraph">
              <wp:posOffset>-7620</wp:posOffset>
            </wp:positionV>
            <wp:extent cx="1485265" cy="8255"/>
            <wp:wrapNone/>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62">
                      <a:extLst>
                        <a:ext uri="{28A0092B-C50C-407E-A947-70E740481C1C}"/>
                      </a:extLst>
                    </a:blip>
                    <a:srcRect/>
                    <a:stretch>
                      <a:fillRect/>
                    </a:stretch>
                  </pic:blipFill>
                  <pic:spPr bwMode="auto">
                    <a:xfrm>
                      <a:off x="0" y="0"/>
                      <a:ext cx="1485265" cy="8255"/>
                    </a:xfrm>
                    <a:prstGeom prst="rect">
                      <a:avLst/>
                    </a:prstGeom>
                    <a:noFill/>
                  </pic:spPr>
                </pic:pic>
              </a:graphicData>
            </a:graphic>
          </wp:anchor>
        </w:drawing>
      </w:r>
    </w:p>
    <w:p>
      <w:pPr>
        <w:spacing w:after="0" w:line="7" w:lineRule="exact"/>
        <w:rPr>
          <w:sz w:val="20"/>
          <w:szCs w:val="20"/>
          <w:color w:val="auto"/>
        </w:rPr>
      </w:pPr>
    </w:p>
    <w:p>
      <w:pPr>
        <w:ind w:left="2980"/>
        <w:spacing w:after="0"/>
        <w:rPr>
          <w:sz w:val="20"/>
          <w:szCs w:val="20"/>
          <w:color w:val="auto"/>
        </w:rPr>
      </w:pPr>
      <w:r>
        <w:rPr>
          <w:rFonts w:ascii="Times New Roman" w:cs="Times New Roman" w:eastAsia="Times New Roman" w:hAnsi="Times New Roman"/>
          <w:sz w:val="18"/>
          <w:szCs w:val="18"/>
          <w:color w:val="auto"/>
        </w:rPr>
        <w:t>Social Security or Other Taxpayer</w:t>
      </w:r>
    </w:p>
    <w:p>
      <w:pPr>
        <w:spacing w:after="0" w:line="9" w:lineRule="exact"/>
        <w:rPr>
          <w:sz w:val="20"/>
          <w:szCs w:val="20"/>
          <w:color w:val="auto"/>
        </w:rPr>
      </w:pPr>
    </w:p>
    <w:p>
      <w:pPr>
        <w:ind w:left="2980"/>
        <w:spacing w:after="0"/>
        <w:rPr>
          <w:sz w:val="20"/>
          <w:szCs w:val="20"/>
          <w:color w:val="auto"/>
        </w:rPr>
      </w:pPr>
      <w:r>
        <w:rPr>
          <w:rFonts w:ascii="Times New Roman" w:cs="Times New Roman" w:eastAsia="Times New Roman" w:hAnsi="Times New Roman"/>
          <w:sz w:val="18"/>
          <w:szCs w:val="18"/>
          <w:color w:val="auto"/>
        </w:rPr>
        <w:t>Identification Number</w:t>
      </w:r>
    </w:p>
    <w:p>
      <w:pPr>
        <w:spacing w:after="0" w:line="207" w:lineRule="exact"/>
        <w:rPr>
          <w:sz w:val="20"/>
          <w:szCs w:val="20"/>
          <w:color w:val="auto"/>
        </w:rPr>
      </w:pPr>
    </w:p>
    <w:p>
      <w:pPr>
        <w:ind w:left="2980"/>
        <w:spacing w:after="0"/>
        <w:rPr>
          <w:sz w:val="20"/>
          <w:szCs w:val="20"/>
          <w:color w:val="auto"/>
        </w:rPr>
      </w:pPr>
      <w:r>
        <w:rPr>
          <w:rFonts w:ascii="Times New Roman" w:cs="Times New Roman" w:eastAsia="Times New Roman" w:hAnsi="Times New Roman"/>
          <w:sz w:val="18"/>
          <w:szCs w:val="18"/>
          <w:color w:val="auto"/>
        </w:rPr>
        <w:t>Principal amount to be repurchased (if less than all): $______,000</w:t>
      </w:r>
    </w:p>
    <w:p>
      <w:pPr>
        <w:spacing w:after="0" w:line="225" w:lineRule="exact"/>
        <w:rPr>
          <w:sz w:val="20"/>
          <w:szCs w:val="20"/>
          <w:color w:val="auto"/>
        </w:rPr>
      </w:pPr>
    </w:p>
    <w:p>
      <w:pPr>
        <w:ind w:left="2980" w:right="220"/>
        <w:spacing w:after="0" w:line="282" w:lineRule="auto"/>
        <w:rPr>
          <w:sz w:val="20"/>
          <w:szCs w:val="20"/>
          <w:color w:val="auto"/>
        </w:rPr>
      </w:pPr>
      <w:r>
        <w:rPr>
          <w:rFonts w:ascii="Times New Roman" w:cs="Times New Roman" w:eastAsia="Times New Roman" w:hAnsi="Times New Roman"/>
          <w:sz w:val="18"/>
          <w:szCs w:val="18"/>
          <w:color w:val="auto"/>
        </w:rPr>
        <w:t>NOTICE: The above signature(s) of the Holder(s) hereof must correspond with the name as written upon the face of the Note in every particular without alteration or enlargement or any change whatever.</w:t>
      </w:r>
    </w:p>
    <w:p>
      <w:pPr>
        <w:spacing w:after="0" w:line="21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w:t>
      </w:r>
    </w:p>
    <w:p>
      <w:pPr>
        <w:sectPr>
          <w:pgSz w:w="11900" w:h="16838" w:orient="portrait"/>
          <w:cols w:equalWidth="0" w:num="1">
            <w:col w:w="11020"/>
          </w:cols>
          <w:pgMar w:left="440" w:top="266" w:right="439" w:bottom="1440" w:gutter="0" w:footer="0" w:header="0"/>
        </w:sectPr>
      </w:pPr>
    </w:p>
    <w:bookmarkStart w:id="123" w:name="page124"/>
    <w:bookmarkEnd w:id="123"/>
    <w:p>
      <w:pPr>
        <w:jc w:val="right"/>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6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ATTACHMENT 4</w:t>
      </w:r>
    </w:p>
    <w:p>
      <w:pPr>
        <w:spacing w:after="0" w:line="229"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[FORM OF ASSIGNMENT AND TRANSFER]</w:t>
      </w:r>
    </w:p>
    <w:p>
      <w:pPr>
        <w:spacing w:after="0" w:line="225"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For value received ____________________________ hereby sell(s), assign(s) and transfer(s) unto _________________ (Please insert social security or</w:t>
      </w:r>
    </w:p>
    <w:p>
      <w:pPr>
        <w:spacing w:after="0" w:line="27"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Taxpayer Identification Number of assignee) the within Note, and hereby irrevocably constitutes and appoints _____________________ attorney to</w:t>
      </w:r>
    </w:p>
    <w:p>
      <w:pPr>
        <w:spacing w:after="0" w:line="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transfer the said Note on the books of the Company, with full power of substitution in the premises.</w:t>
      </w:r>
    </w:p>
    <w:p>
      <w:pPr>
        <w:spacing w:after="0" w:line="207" w:lineRule="exact"/>
        <w:rPr>
          <w:sz w:val="20"/>
          <w:szCs w:val="20"/>
          <w:color w:val="auto"/>
        </w:rPr>
      </w:pPr>
    </w:p>
    <w:p>
      <w:pPr>
        <w:ind w:left="4"/>
        <w:spacing w:after="0"/>
        <w:rPr>
          <w:sz w:val="20"/>
          <w:szCs w:val="20"/>
          <w:color w:val="auto"/>
        </w:rPr>
      </w:pPr>
      <w:r>
        <w:rPr>
          <w:rFonts w:ascii="Times New Roman" w:cs="Times New Roman" w:eastAsia="Times New Roman" w:hAnsi="Times New Roman"/>
          <w:sz w:val="17"/>
          <w:szCs w:val="17"/>
          <w:color w:val="auto"/>
        </w:rPr>
        <w:t>In connection with any transfer of the within Note occurring prior to the Resale Restriction Termination Date, as defined in the Indenture governing such</w:t>
      </w:r>
    </w:p>
    <w:p>
      <w:pPr>
        <w:spacing w:after="0" w:line="3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Note, the undersigned confirms that such Note is being transferred:</w:t>
      </w:r>
    </w:p>
    <w:p>
      <w:pPr>
        <w:spacing w:after="0" w:line="207" w:lineRule="exact"/>
        <w:rPr>
          <w:sz w:val="20"/>
          <w:szCs w:val="20"/>
          <w:color w:val="auto"/>
        </w:rPr>
      </w:pPr>
    </w:p>
    <w:p>
      <w:pPr>
        <w:ind w:left="204" w:hanging="204"/>
        <w:spacing w:after="0"/>
        <w:tabs>
          <w:tab w:leader="none" w:pos="204" w:val="left"/>
        </w:tabs>
        <w:numPr>
          <w:ilvl w:val="0"/>
          <w:numId w:val="108"/>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To MicroStrategy Incorporated or a subsidiary thereof; or</w:t>
      </w:r>
    </w:p>
    <w:p>
      <w:pPr>
        <w:spacing w:after="0" w:line="225" w:lineRule="exact"/>
        <w:rPr>
          <w:rFonts w:ascii="MS PGothic" w:cs="MS PGothic" w:eastAsia="MS PGothic" w:hAnsi="MS PGothic"/>
          <w:sz w:val="18"/>
          <w:szCs w:val="18"/>
          <w:color w:val="auto"/>
        </w:rPr>
      </w:pPr>
    </w:p>
    <w:p>
      <w:pPr>
        <w:ind w:left="204" w:hanging="204"/>
        <w:spacing w:after="0"/>
        <w:tabs>
          <w:tab w:leader="none" w:pos="204" w:val="left"/>
        </w:tabs>
        <w:numPr>
          <w:ilvl w:val="0"/>
          <w:numId w:val="108"/>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Pursuant to a registration statement that has become or been declared effective under the Securities Act of 1933, as amended; or</w:t>
      </w:r>
    </w:p>
    <w:p>
      <w:pPr>
        <w:spacing w:after="0" w:line="225" w:lineRule="exact"/>
        <w:rPr>
          <w:rFonts w:ascii="MS PGothic" w:cs="MS PGothic" w:eastAsia="MS PGothic" w:hAnsi="MS PGothic"/>
          <w:sz w:val="18"/>
          <w:szCs w:val="18"/>
          <w:color w:val="auto"/>
        </w:rPr>
      </w:pPr>
    </w:p>
    <w:p>
      <w:pPr>
        <w:ind w:left="204" w:hanging="204"/>
        <w:spacing w:after="0"/>
        <w:tabs>
          <w:tab w:leader="none" w:pos="204" w:val="left"/>
        </w:tabs>
        <w:numPr>
          <w:ilvl w:val="0"/>
          <w:numId w:val="108"/>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Pursuant to and in compliance with Rule 144A under the Securities Act of 1933, as amended; or</w:t>
      </w:r>
    </w:p>
    <w:p>
      <w:pPr>
        <w:spacing w:after="0" w:line="225" w:lineRule="exact"/>
        <w:rPr>
          <w:rFonts w:ascii="MS PGothic" w:cs="MS PGothic" w:eastAsia="MS PGothic" w:hAnsi="MS PGothic"/>
          <w:sz w:val="18"/>
          <w:szCs w:val="18"/>
          <w:color w:val="auto"/>
        </w:rPr>
      </w:pPr>
    </w:p>
    <w:p>
      <w:pPr>
        <w:ind w:left="4" w:right="280" w:hanging="4"/>
        <w:spacing w:after="0" w:line="282" w:lineRule="auto"/>
        <w:tabs>
          <w:tab w:leader="none" w:pos="211" w:val="left"/>
        </w:tabs>
        <w:numPr>
          <w:ilvl w:val="0"/>
          <w:numId w:val="108"/>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Pursuant to and in compliance with Rule 144 under the Securities Act of 1933, as amended, or any other available exemption from the registration requirements of the Securities Act of 1933, as amended.</w:t>
      </w:r>
    </w:p>
    <w:p>
      <w:pPr>
        <w:spacing w:after="0" w:line="94"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1</w:t>
      </w:r>
    </w:p>
    <w:p>
      <w:pPr>
        <w:sectPr>
          <w:pgSz w:w="11900" w:h="16838" w:orient="portrait"/>
          <w:cols w:equalWidth="0" w:num="1">
            <w:col w:w="11024"/>
          </w:cols>
          <w:pgMar w:left="436" w:top="266" w:right="439" w:bottom="1440" w:gutter="0" w:footer="0" w:header="0"/>
        </w:sectPr>
      </w:pPr>
    </w:p>
    <w:bookmarkStart w:id="124" w:name="page125"/>
    <w:bookmarkEnd w:id="124"/>
    <w:p>
      <w:pPr>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6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Dated: ________________________</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-1905</wp:posOffset>
            </wp:positionH>
            <wp:positionV relativeFrom="paragraph">
              <wp:posOffset>291465</wp:posOffset>
            </wp:positionV>
            <wp:extent cx="3505835" cy="8255"/>
            <wp:wrapNone/>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65">
                      <a:extLst>
                        <a:ext uri="{28A0092B-C50C-407E-A947-70E740481C1C}"/>
                      </a:extLst>
                    </a:blip>
                    <a:srcRect/>
                    <a:stretch>
                      <a:fillRect/>
                    </a:stretch>
                  </pic:blipFill>
                  <pic:spPr bwMode="auto">
                    <a:xfrm>
                      <a:off x="0" y="0"/>
                      <a:ext cx="3505835" cy="8255"/>
                    </a:xfrm>
                    <a:prstGeom prst="rect">
                      <a:avLst/>
                    </a:prstGeom>
                    <a:noFill/>
                  </pic:spPr>
                </pic:pic>
              </a:graphicData>
            </a:graphic>
          </wp:anchor>
        </w:drawing>
        <w:drawing>
          <wp:anchor simplePos="0" relativeHeight="251657728" behindDoc="1" locked="0" layoutInCell="0" allowOverlap="1">
            <wp:simplePos x="0" y="0"/>
            <wp:positionH relativeFrom="column">
              <wp:posOffset>-1905</wp:posOffset>
            </wp:positionH>
            <wp:positionV relativeFrom="paragraph">
              <wp:posOffset>582930</wp:posOffset>
            </wp:positionV>
            <wp:extent cx="3505835" cy="8255"/>
            <wp:wrapNone/>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66">
                      <a:extLst>
                        <a:ext uri="{28A0092B-C50C-407E-A947-70E740481C1C}"/>
                      </a:extLst>
                    </a:blip>
                    <a:srcRect/>
                    <a:stretch>
                      <a:fillRect/>
                    </a:stretch>
                  </pic:blipFill>
                  <pic:spPr bwMode="auto">
                    <a:xfrm>
                      <a:off x="0" y="0"/>
                      <a:ext cx="3505835" cy="8255"/>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Signature(s)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-1905</wp:posOffset>
            </wp:positionH>
            <wp:positionV relativeFrom="paragraph">
              <wp:posOffset>291465</wp:posOffset>
            </wp:positionV>
            <wp:extent cx="3505835" cy="8890"/>
            <wp:wrapNone/>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67">
                      <a:extLst>
                        <a:ext uri="{28A0092B-C50C-407E-A947-70E740481C1C}"/>
                      </a:extLst>
                    </a:blip>
                    <a:srcRect/>
                    <a:stretch>
                      <a:fillRect/>
                    </a:stretch>
                  </pic:blipFill>
                  <pic:spPr bwMode="auto">
                    <a:xfrm>
                      <a:off x="0" y="0"/>
                      <a:ext cx="3505835" cy="8890"/>
                    </a:xfrm>
                    <a:prstGeom prst="rect">
                      <a:avLst/>
                    </a:prstGeom>
                    <a:noFill/>
                  </pic:spPr>
                </pic:pic>
              </a:graphicData>
            </a:graphic>
          </wp:anchor>
        </w:drawing>
      </w:r>
    </w:p>
    <w:p>
      <w:pPr>
        <w:spacing w:after="0" w:line="200" w:lineRule="exact"/>
        <w:rPr>
          <w:sz w:val="20"/>
          <w:szCs w:val="20"/>
          <w:color w:val="auto"/>
        </w:rPr>
      </w:pPr>
    </w:p>
    <w:p>
      <w:pPr>
        <w:spacing w:after="0" w:line="24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Signature Guarantee</w:t>
      </w:r>
    </w:p>
    <w:p>
      <w:pPr>
        <w:spacing w:after="0" w:line="225" w:lineRule="exact"/>
        <w:rPr>
          <w:sz w:val="20"/>
          <w:szCs w:val="20"/>
          <w:color w:val="auto"/>
        </w:rPr>
      </w:pPr>
    </w:p>
    <w:p>
      <w:pPr>
        <w:ind w:right="5400"/>
        <w:spacing w:after="0" w:line="258" w:lineRule="auto"/>
        <w:rPr>
          <w:sz w:val="20"/>
          <w:szCs w:val="20"/>
          <w:color w:val="auto"/>
        </w:rPr>
      </w:pPr>
      <w:r>
        <w:rPr>
          <w:rFonts w:ascii="Times New Roman" w:cs="Times New Roman" w:eastAsia="Times New Roman" w:hAnsi="Times New Roman"/>
          <w:sz w:val="18"/>
          <w:szCs w:val="18"/>
          <w:color w:val="auto"/>
        </w:rPr>
        <w:t>Signature(s) must be guaranteed by an eligible Guarantor Institution (banks, stock brokers, savings and loan associations and credit unions) with membership in an approved signature guarantee medallion program pursuant to Securities and Exchange Commission Rule 17Ad-15 if Notes are to be delivered, other than to and in the name of the registered holder.</w:t>
      </w:r>
    </w:p>
    <w:p>
      <w:pPr>
        <w:spacing w:after="0" w:line="183" w:lineRule="exact"/>
        <w:rPr>
          <w:sz w:val="20"/>
          <w:szCs w:val="20"/>
          <w:color w:val="auto"/>
        </w:rPr>
      </w:pPr>
    </w:p>
    <w:p>
      <w:pPr>
        <w:spacing w:after="0" w:line="282" w:lineRule="auto"/>
        <w:rPr>
          <w:sz w:val="20"/>
          <w:szCs w:val="20"/>
          <w:color w:val="auto"/>
        </w:rPr>
      </w:pPr>
      <w:r>
        <w:rPr>
          <w:rFonts w:ascii="Times New Roman" w:cs="Times New Roman" w:eastAsia="Times New Roman" w:hAnsi="Times New Roman"/>
          <w:sz w:val="18"/>
          <w:szCs w:val="18"/>
          <w:color w:val="auto"/>
        </w:rPr>
        <w:t>NOTICE: The signature on the assignment must correspond with the name as written upon the face of the Note in every particular without alteration or enlargement or any change whatever.</w:t>
      </w:r>
    </w:p>
    <w:p>
      <w:pPr>
        <w:spacing w:after="0" w:line="94" w:lineRule="exact"/>
        <w:rPr>
          <w:sz w:val="20"/>
          <w:szCs w:val="20"/>
          <w:color w:val="auto"/>
        </w:rPr>
      </w:pPr>
    </w:p>
    <w:p>
      <w:pPr>
        <w:jc w:val="center"/>
        <w:ind w:right="-119"/>
        <w:spacing w:after="0"/>
        <w:rPr>
          <w:sz w:val="20"/>
          <w:szCs w:val="20"/>
          <w:color w:val="auto"/>
        </w:rPr>
      </w:pPr>
      <w:r>
        <w:rPr>
          <w:rFonts w:ascii="Times New Roman" w:cs="Times New Roman" w:eastAsia="Times New Roman" w:hAnsi="Times New Roman"/>
          <w:sz w:val="18"/>
          <w:szCs w:val="18"/>
          <w:color w:val="auto"/>
        </w:rPr>
        <w:t>2</w:t>
      </w:r>
    </w:p>
    <w:p>
      <w:pPr>
        <w:sectPr>
          <w:pgSz w:w="11900" w:h="16838" w:orient="portrait"/>
          <w:cols w:equalWidth="0" w:num="1">
            <w:col w:w="10880"/>
          </w:cols>
          <w:pgMar w:left="440" w:top="270" w:right="579" w:bottom="1440" w:gutter="0" w:footer="0" w:header="0"/>
        </w:sectPr>
      </w:pPr>
    </w:p>
    <w:bookmarkStart w:id="125" w:name="page126"/>
    <w:bookmarkEnd w:id="125"/>
    <w:p>
      <w:pPr>
        <w:jc w:val="right"/>
        <w:spacing w:after="0"/>
        <w:rPr>
          <w:sz w:val="20"/>
          <w:szCs w:val="20"/>
          <w:color w:val="auto"/>
        </w:rPr>
      </w:pPr>
      <w:r>
        <w:rPr>
          <w:rFonts w:ascii="Times New Roman" w:cs="Times New Roman" w:eastAsia="Times New Roman" w:hAnsi="Times New Roman"/>
          <w:sz w:val="18"/>
          <w:szCs w:val="18"/>
          <w:b w:val="1"/>
          <w:bCs w:val="1"/>
          <w:color w:val="auto"/>
        </w:rPr>
        <w:t>Exhibit 99.1</w:t>
      </w:r>
    </w:p>
    <w:p>
      <w:pPr>
        <w:spacing w:after="0" w:line="200" w:lineRule="exact"/>
        <w:rPr>
          <w:sz w:val="20"/>
          <w:szCs w:val="20"/>
          <w:color w:val="auto"/>
        </w:rPr>
      </w:pPr>
    </w:p>
    <w:p>
      <w:pPr>
        <w:spacing w:after="0" w:line="24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Completes $800 Million Offering of 2.25% Convertible Senior Notes Due 2032</w:t>
      </w:r>
    </w:p>
    <w:p>
      <w:pPr>
        <w:spacing w:after="0" w:line="229" w:lineRule="exact"/>
        <w:rPr>
          <w:sz w:val="20"/>
          <w:szCs w:val="20"/>
          <w:color w:val="auto"/>
        </w:rPr>
      </w:pPr>
    </w:p>
    <w:p>
      <w:pPr>
        <w:ind w:right="100"/>
        <w:spacing w:after="0" w:line="238" w:lineRule="auto"/>
        <w:rPr>
          <w:sz w:val="20"/>
          <w:szCs w:val="20"/>
          <w:color w:val="auto"/>
        </w:rPr>
      </w:pPr>
      <w:r>
        <w:rPr>
          <w:rFonts w:ascii="Times New Roman" w:cs="Times New Roman" w:eastAsia="Times New Roman" w:hAnsi="Times New Roman"/>
          <w:sz w:val="18"/>
          <w:szCs w:val="18"/>
          <w:color w:val="auto"/>
        </w:rPr>
        <w:t>TYSONS CORNER, Va., June 20, 2024 — MicroStrategy</w:t>
      </w:r>
      <w:r>
        <w:rPr>
          <w:rFonts w:ascii="Times New Roman" w:cs="Times New Roman" w:eastAsia="Times New Roman" w:hAnsi="Times New Roman"/>
          <w:sz w:val="26"/>
          <w:szCs w:val="26"/>
          <w:color w:val="auto"/>
          <w:vertAlign w:val="superscript"/>
        </w:rPr>
        <w:t>®</w:t>
      </w:r>
      <w:r>
        <w:rPr>
          <w:rFonts w:ascii="Times New Roman" w:cs="Times New Roman" w:eastAsia="Times New Roman" w:hAnsi="Times New Roman"/>
          <w:sz w:val="18"/>
          <w:szCs w:val="18"/>
          <w:color w:val="auto"/>
        </w:rPr>
        <w:t xml:space="preserve"> Incorporated (Nasdaq: MSTR) (“MicroStrategy”) today announced that, on June 18, 2024, it completed its previously announced offering of 2.25% convertible senior notes due 2032 (the “notes”). The aggregate principal amount of the notes sold in the offering was $800 million, which includes $100 million aggregate principal amount of notes issued pursuant to an option to purchase, within a 13-day period beginning on, and including, the date on which the notes were first issued, granted to the initial purchasers under the purchase agreement, which the initial purchasers exercised in full on June 17, 2024 and which additional purchase was completed on June 18, 2024. The notes were sold in a private offering to persons reasonably believed to be qualified institutional buyers in reliance on Rule 144A under the Securities Act of 1933, as amended (the “Securities Act”).</w:t>
      </w:r>
    </w:p>
    <w:p>
      <w:pPr>
        <w:spacing w:after="0" w:line="20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notes are unsecured, senior obligations of MicroStrategy, and bear interest at a rate of 2.25% per annum, payable semi-annually in arrears on</w:t>
      </w:r>
    </w:p>
    <w:p>
      <w:pPr>
        <w:spacing w:after="0" w:line="27" w:lineRule="exact"/>
        <w:rPr>
          <w:sz w:val="20"/>
          <w:szCs w:val="20"/>
          <w:color w:val="auto"/>
        </w:rPr>
      </w:pPr>
    </w:p>
    <w:p>
      <w:pPr>
        <w:ind w:right="40"/>
        <w:spacing w:after="0" w:line="252" w:lineRule="auto"/>
        <w:rPr>
          <w:sz w:val="20"/>
          <w:szCs w:val="20"/>
          <w:color w:val="auto"/>
        </w:rPr>
      </w:pPr>
      <w:r>
        <w:rPr>
          <w:rFonts w:ascii="Times New Roman" w:cs="Times New Roman" w:eastAsia="Times New Roman" w:hAnsi="Times New Roman"/>
          <w:sz w:val="18"/>
          <w:szCs w:val="18"/>
          <w:color w:val="auto"/>
        </w:rPr>
        <w:t>June 15 and December 15 of each year, beginning on December 15, 2024. The notes will mature on June 15, 2032, unless earlier repurchased, redeemed or converted in accordance with their terms. Subject to certain conditions, on or after June 20, 2029, MicroStrategy may redeem for cash all or any portion of the notes at a redemption price equal to 100% of the principal amount of the notes to be redeemed, plus accrued and unpaid interest, if any, to, but excluding, the redemption date, if the last reported sale price of MicroStrategy’s class A common stock has been at least 130% of the conversion price then in effect for a specified period of time ending on the trading day immediately before the date the notice of redemption is sent. If MicroStrategy redeems fewer than all the outstanding notes, at least $75 million aggregate principal amount of notes must be outstanding and not subject to redemption as of the relevant redemption notice date.</w:t>
      </w:r>
    </w:p>
    <w:p>
      <w:pPr>
        <w:spacing w:after="0" w:line="188" w:lineRule="exact"/>
        <w:rPr>
          <w:sz w:val="20"/>
          <w:szCs w:val="20"/>
          <w:color w:val="auto"/>
        </w:rPr>
      </w:pPr>
    </w:p>
    <w:p>
      <w:pPr>
        <w:ind w:right="80"/>
        <w:spacing w:after="0" w:line="258" w:lineRule="auto"/>
        <w:rPr>
          <w:sz w:val="20"/>
          <w:szCs w:val="20"/>
          <w:color w:val="auto"/>
        </w:rPr>
      </w:pPr>
      <w:r>
        <w:rPr>
          <w:rFonts w:ascii="Times New Roman" w:cs="Times New Roman" w:eastAsia="Times New Roman" w:hAnsi="Times New Roman"/>
          <w:sz w:val="18"/>
          <w:szCs w:val="18"/>
          <w:color w:val="auto"/>
        </w:rPr>
        <w:t>Holders of notes may require MicroStrategy to repurchase their notes on June 15, 2029 or upon the occurrence of certain events that constitute a fundamental change under the indenture governing the notes at a repurchase price equal to 100% of the principal amount of the notes to be repurchased, plus any accrued and unpaid interest to, but excluding, the date of repurchase. In connection with certain corporate events or if MicroStrategy calls any note for redemption, it will, under certain circumstances, be required to increase the conversion rate for holders who elect to convert their notes in connection with such corporate event or notice of redemption.</w:t>
      </w:r>
    </w:p>
    <w:p>
      <w:pPr>
        <w:spacing w:after="0" w:line="183" w:lineRule="exact"/>
        <w:rPr>
          <w:sz w:val="20"/>
          <w:szCs w:val="20"/>
          <w:color w:val="auto"/>
        </w:rPr>
      </w:pPr>
    </w:p>
    <w:p>
      <w:pPr>
        <w:ind w:right="60"/>
        <w:spacing w:after="0" w:line="266" w:lineRule="auto"/>
        <w:rPr>
          <w:sz w:val="20"/>
          <w:szCs w:val="20"/>
          <w:color w:val="auto"/>
        </w:rPr>
      </w:pPr>
      <w:r>
        <w:rPr>
          <w:rFonts w:ascii="Times New Roman" w:cs="Times New Roman" w:eastAsia="Times New Roman" w:hAnsi="Times New Roman"/>
          <w:sz w:val="18"/>
          <w:szCs w:val="18"/>
          <w:color w:val="auto"/>
        </w:rPr>
        <w:t>The notes are convertible into cash, shares of MicroStrategy’s class A common stock, or a combination of cash and shares of MicroStrategy’s class A common stock, at MicroStrategy’s election. Prior to December 15, 2031, the notes are convertible only upon the occurrence of certain events and during certain periods, and thereafter, at any time until the second scheduled trading day immediately preceding the maturity date.</w:t>
      </w:r>
    </w:p>
    <w:p>
      <w:pPr>
        <w:spacing w:after="0" w:line="176" w:lineRule="exact"/>
        <w:rPr>
          <w:sz w:val="20"/>
          <w:szCs w:val="20"/>
          <w:color w:val="auto"/>
        </w:rPr>
      </w:pPr>
    </w:p>
    <w:p>
      <w:pPr>
        <w:ind w:right="380"/>
        <w:spacing w:after="0" w:line="261" w:lineRule="auto"/>
        <w:rPr>
          <w:sz w:val="20"/>
          <w:szCs w:val="20"/>
          <w:color w:val="auto"/>
        </w:rPr>
      </w:pPr>
      <w:r>
        <w:rPr>
          <w:rFonts w:ascii="Times New Roman" w:cs="Times New Roman" w:eastAsia="Times New Roman" w:hAnsi="Times New Roman"/>
          <w:sz w:val="18"/>
          <w:szCs w:val="18"/>
          <w:color w:val="auto"/>
        </w:rPr>
        <w:t>The conversion rate for the notes is initially 0.4894 shares of MicroStrategy’s class A common stock per $1,000 principal amount of notes, which is equivalent to an initial conversion price of approximately $2,043.32 per share. This represents a premium of approximately 35% over the U.S. composite volume weighted average price of MicroStrategy’s class A common stock from 9:30 a.m. through 4:00 p.m. Eastern Daylight Time on Thursday, June 13, 2024, which was $1,513.46. The conversion rate is subject to adjustment upon the occurrence of certain events.</w:t>
      </w:r>
    </w:p>
    <w:p>
      <w:pPr>
        <w:spacing w:after="0" w:line="180" w:lineRule="exact"/>
        <w:rPr>
          <w:sz w:val="20"/>
          <w:szCs w:val="20"/>
          <w:color w:val="auto"/>
        </w:rPr>
      </w:pPr>
    </w:p>
    <w:p>
      <w:pPr>
        <w:ind w:right="260"/>
        <w:spacing w:after="0" w:line="282" w:lineRule="auto"/>
        <w:rPr>
          <w:sz w:val="20"/>
          <w:szCs w:val="20"/>
          <w:color w:val="auto"/>
        </w:rPr>
      </w:pPr>
      <w:r>
        <w:rPr>
          <w:rFonts w:ascii="Times New Roman" w:cs="Times New Roman" w:eastAsia="Times New Roman" w:hAnsi="Times New Roman"/>
          <w:sz w:val="18"/>
          <w:szCs w:val="18"/>
          <w:color w:val="auto"/>
        </w:rPr>
        <w:t>The net proceeds from the sale of the notes were approximately $786.0 million, after deducting the initial purchasers’ discounts and commissions and estimated offering expenses payable by MicroStrategy.</w:t>
      </w:r>
    </w:p>
    <w:p>
      <w:pPr>
        <w:spacing w:after="0" w:line="16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MicroStrategy intends to use the net proceeds from the sale of the notes to acquire additional bitcoin and for general corporate purposes.</w:t>
      </w:r>
    </w:p>
    <w:p>
      <w:pPr>
        <w:spacing w:after="0" w:line="225" w:lineRule="exact"/>
        <w:rPr>
          <w:sz w:val="20"/>
          <w:szCs w:val="20"/>
          <w:color w:val="auto"/>
        </w:rPr>
      </w:pPr>
    </w:p>
    <w:p>
      <w:pPr>
        <w:ind w:right="20"/>
        <w:spacing w:after="0" w:line="258" w:lineRule="auto"/>
        <w:rPr>
          <w:sz w:val="20"/>
          <w:szCs w:val="20"/>
          <w:color w:val="auto"/>
        </w:rPr>
      </w:pPr>
      <w:r>
        <w:rPr>
          <w:rFonts w:ascii="Times New Roman" w:cs="Times New Roman" w:eastAsia="Times New Roman" w:hAnsi="Times New Roman"/>
          <w:sz w:val="18"/>
          <w:szCs w:val="18"/>
          <w:color w:val="auto"/>
        </w:rPr>
        <w:t>The notes were sold to persons reasonably believed to be qualified institutional buyers pursuant to Rule 144A under the Securities Act. The offer and sale of the notes and the shares of MicroStrategy’s class A common stock issuable upon conversion of the notes, if any, have not been and will not be registered under the Securities Act or the securities laws of any other jurisdiction, and the notes and any such shares may not be offered or sold in the United States absent registration or an applicable exemption from such registration requirements. The offering of the notes was made only by means of a private offering memorandum.</w:t>
      </w:r>
    </w:p>
    <w:p>
      <w:pPr>
        <w:sectPr>
          <w:pgSz w:w="11900" w:h="16838" w:orient="portrait"/>
          <w:cols w:equalWidth="0" w:num="1">
            <w:col w:w="11020"/>
          </w:cols>
          <w:pgMar w:left="440" w:top="117" w:right="439" w:bottom="1440" w:gutter="0" w:footer="0" w:header="0"/>
        </w:sectPr>
      </w:pPr>
    </w:p>
    <w:bookmarkStart w:id="126" w:name="page127"/>
    <w:bookmarkEnd w:id="126"/>
    <w:p>
      <w:pPr>
        <w:ind w:right="80"/>
        <w:spacing w:after="0" w:line="28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68">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This press release shall not constitute an offer to sell, or a solicitation of an offer to buy the notes, nor shall there be any sale of, the notes in any state or jurisdiction in which such offer, solicitation or sale would be unlawful under the securities laws of any such state or jurisdiction.</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About MicroStrategy Incorporated</w:t>
      </w:r>
    </w:p>
    <w:p>
      <w:pPr>
        <w:spacing w:after="0" w:line="121" w:lineRule="exact"/>
        <w:rPr>
          <w:sz w:val="20"/>
          <w:szCs w:val="20"/>
          <w:color w:val="auto"/>
        </w:rPr>
      </w:pPr>
    </w:p>
    <w:p>
      <w:pPr>
        <w:ind w:right="20"/>
        <w:spacing w:after="0" w:line="256" w:lineRule="auto"/>
        <w:rPr>
          <w:sz w:val="20"/>
          <w:szCs w:val="20"/>
          <w:color w:val="auto"/>
        </w:rPr>
      </w:pPr>
      <w:r>
        <w:rPr>
          <w:rFonts w:ascii="Times New Roman" w:cs="Times New Roman" w:eastAsia="Times New Roman" w:hAnsi="Times New Roman"/>
          <w:sz w:val="18"/>
          <w:szCs w:val="18"/>
          <w:color w:val="auto"/>
        </w:rPr>
        <w:t>MicroStrategy (Nasdaq: MSTR) considers itself the world’s first Bitcoin development company. We are a publicly-traded operating company committed to the continued development of the bitcoin network through our activities in the financial markets, advocacy and technology innovation. As an operating business, we are able to use cashflows as well as proceeds from equity and debt financings to accumulate bitcoin, which serves as our primary treasury reserve asset. We also develop and provide industry-leading AI-powered enterprise analytics software that promotes our vision of Intelligence Everywhere, and are using our software development capabilities to develop bitcoin applications. We believe that the combination of our operating structure, bitcoin strategy and focus on technology innovation provides a unique opportunity for value creation.</w:t>
      </w:r>
    </w:p>
    <w:p>
      <w:pPr>
        <w:spacing w:after="0" w:line="187" w:lineRule="exact"/>
        <w:rPr>
          <w:sz w:val="20"/>
          <w:szCs w:val="20"/>
          <w:color w:val="auto"/>
        </w:rPr>
      </w:pPr>
    </w:p>
    <w:p>
      <w:pPr>
        <w:ind w:right="480"/>
        <w:spacing w:after="0" w:line="282" w:lineRule="auto"/>
        <w:rPr>
          <w:sz w:val="20"/>
          <w:szCs w:val="20"/>
          <w:color w:val="auto"/>
        </w:rPr>
      </w:pPr>
      <w:r>
        <w:rPr>
          <w:rFonts w:ascii="Times New Roman" w:cs="Times New Roman" w:eastAsia="Times New Roman" w:hAnsi="Times New Roman"/>
          <w:sz w:val="18"/>
          <w:szCs w:val="18"/>
          <w:color w:val="auto"/>
        </w:rPr>
        <w:t>MicroStrategy and Intelligence Everywhere are either trademarks or registered trademarks of MicroStrategy Incorporated in the United States and certain other countries.</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Forward-Looking Statements</w:t>
      </w:r>
    </w:p>
    <w:p>
      <w:pPr>
        <w:spacing w:after="0" w:line="121"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8"/>
          <w:szCs w:val="18"/>
          <w:color w:val="auto"/>
        </w:rPr>
        <w:t>Statements in this press release about future expectations, plans, and prospects, as well as any other statements regarding matters that are not historical facts, may constitute “forward-looking statements” within the meaning of The Private Securities Litigation Reform Act of 1995. These statements include, but are not limited to, statements relating to the estimated net proceeds of the offering and the anticipated use of such net proceeds. The words “anticipate,” “believe,” “continue,” “could,” “estimate,” “expect,” “intend,” “may,” “plan,” “potential,” “predict,” “project,” “should,” “target,” “will,” “would,” and similar expressions are intended to identify forward-looking statements, although not all forward-looking statements contain these identifying words. Actual results may differ materially from those indicated by such forward-looking statements as a result of various important factors, including the uncertainties related to market conditions and the other factors discussed in the “Risk Factors” section of MicroStrategy’s Quarterly Report on Form 10-Q filed with the Securities and Exchange Commission on May 1, 2024, and the risks described in other filings that MicroStrategy may make with the Securities and Exchange Commission. Any forward-looking statements contained in this press release speak only as of the date hereof, and MicroStrategy specifically disclaims any obligation to update any forward-looking statement, whether as a result of new information, future events, or otherwise.</w:t>
      </w:r>
    </w:p>
    <w:p>
      <w:pPr>
        <w:spacing w:after="0" w:line="19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Shirish Jajodia</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Investor Relations</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ir@microstrategy.com</w:t>
      </w:r>
    </w:p>
    <w:sectPr>
      <w:pgSz w:w="11900" w:h="16838" w:orient="portrait"/>
      <w:cols w:equalWidth="0" w:num="1">
        <w:col w:w="11000"/>
      </w:cols>
      <w:pgMar w:left="440" w:top="270" w:right="45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4F4EF005"/>
    <w:multiLevelType w:val="hybridMultilevel"/>
    <w:lvl w:ilvl="0">
      <w:lvlJc w:val="left"/>
      <w:lvlText w:val="☐"/>
      <w:numFmt w:val="bullet"/>
      <w:start w:val="1"/>
    </w:lvl>
  </w:abstractNum>
  <w:abstractNum w:abstractNumId="1">
    <w:nsid w:val="23F9C13C"/>
    <w:multiLevelType w:val="hybridMultilevel"/>
    <w:lvl w:ilvl="0">
      <w:lvlJc w:val="left"/>
      <w:lvlText w:val=" "/>
      <w:numFmt w:val="bullet"/>
      <w:start w:val="1"/>
    </w:lvl>
  </w:abstractNum>
  <w:abstractNum w:abstractNumId="2">
    <w:nsid w:val="649BB77C"/>
    <w:multiLevelType w:val="hybridMultilevel"/>
    <w:lvl w:ilvl="0">
      <w:lvlJc w:val="left"/>
      <w:lvlText w:val="(%1)"/>
      <w:numFmt w:val="lowerLetter"/>
      <w:start w:val="1"/>
    </w:lvl>
  </w:abstractNum>
  <w:abstractNum w:abstractNumId="3">
    <w:nsid w:val="275AC794"/>
    <w:multiLevelType w:val="hybridMultilevel"/>
    <w:lvl w:ilvl="0">
      <w:lvlJc w:val="left"/>
      <w:lvlText w:val="(%1)"/>
      <w:numFmt w:val="lowerLetter"/>
      <w:start w:val="1"/>
    </w:lvl>
  </w:abstractNum>
  <w:abstractNum w:abstractNumId="4">
    <w:nsid w:val="39386575"/>
    <w:multiLevelType w:val="hybridMultilevel"/>
    <w:lvl w:ilvl="0">
      <w:lvlJc w:val="left"/>
      <w:lvlText w:val="(%1)"/>
      <w:numFmt w:val="lowerLetter"/>
      <w:start w:val="2"/>
    </w:lvl>
  </w:abstractNum>
  <w:abstractNum w:abstractNumId="5">
    <w:nsid w:val="1CF10FD8"/>
    <w:multiLevelType w:val="hybridMultilevel"/>
    <w:lvl w:ilvl="0">
      <w:lvlJc w:val="left"/>
      <w:lvlText w:val="(%1)"/>
      <w:numFmt w:val="lowerLetter"/>
      <w:start w:val="1"/>
    </w:lvl>
  </w:abstractNum>
  <w:abstractNum w:abstractNumId="6">
    <w:nsid w:val="180115BE"/>
    <w:multiLevelType w:val="hybridMultilevel"/>
    <w:lvl w:ilvl="0">
      <w:lvlJc w:val="left"/>
      <w:lvlText w:val="(%1)"/>
      <w:numFmt w:val="lowerLetter"/>
      <w:start w:val="4"/>
    </w:lvl>
  </w:abstractNum>
  <w:abstractNum w:abstractNumId="7">
    <w:nsid w:val="235BA861"/>
    <w:multiLevelType w:val="hybridMultilevel"/>
    <w:lvl w:ilvl="0">
      <w:lvlJc w:val="left"/>
      <w:lvlText w:val="(%1)"/>
      <w:numFmt w:val="lowerRoman"/>
      <w:start w:val="1"/>
    </w:lvl>
  </w:abstractNum>
  <w:abstractNum w:abstractNumId="8">
    <w:nsid w:val="47398C89"/>
    <w:multiLevelType w:val="hybridMultilevel"/>
    <w:lvl w:ilvl="0">
      <w:lvlJc w:val="left"/>
      <w:lvlText w:val="(%1)"/>
      <w:numFmt w:val="lowerLetter"/>
      <w:start w:val="2"/>
    </w:lvl>
  </w:abstractNum>
  <w:abstractNum w:abstractNumId="9">
    <w:nsid w:val="354FE9F9"/>
    <w:multiLevelType w:val="hybridMultilevel"/>
    <w:lvl w:ilvl="0">
      <w:lvlJc w:val="left"/>
      <w:lvlText w:val="(%1)"/>
      <w:numFmt w:val="lowerRoman"/>
      <w:start w:val="1"/>
    </w:lvl>
  </w:abstractNum>
  <w:abstractNum w:abstractNumId="10">
    <w:nsid w:val="15B5AF5C"/>
    <w:multiLevelType w:val="hybridMultilevel"/>
    <w:lvl w:ilvl="0">
      <w:lvlJc w:val="left"/>
      <w:lvlText w:val="(%1)"/>
      <w:numFmt w:val="lowerLetter"/>
      <w:start w:val="2"/>
    </w:lvl>
  </w:abstractNum>
  <w:abstractNum w:abstractNumId="11">
    <w:nsid w:val="741226BB"/>
    <w:multiLevelType w:val="hybridMultilevel"/>
    <w:lvl w:ilvl="0">
      <w:lvlJc w:val="left"/>
      <w:lvlText w:val="(%1)"/>
      <w:numFmt w:val="decimal"/>
      <w:start w:val="1"/>
    </w:lvl>
    <w:lvl w:ilvl="1">
      <w:lvlJc w:val="left"/>
      <w:lvlText w:val="(%2)"/>
      <w:numFmt w:val="upperLetter"/>
      <w:start w:val="1"/>
    </w:lvl>
  </w:abstractNum>
  <w:abstractNum w:abstractNumId="12">
    <w:nsid w:val="D34B6A8"/>
    <w:multiLevelType w:val="hybridMultilevel"/>
    <w:lvl w:ilvl="0">
      <w:lvlJc w:val="left"/>
      <w:lvlText w:val="(%1)"/>
      <w:numFmt w:val="lowerLetter"/>
      <w:start w:val="4"/>
    </w:lvl>
  </w:abstractNum>
  <w:abstractNum w:abstractNumId="13">
    <w:nsid w:val="10233C99"/>
    <w:multiLevelType w:val="hybridMultilevel"/>
    <w:lvl w:ilvl="0">
      <w:lvlJc w:val="left"/>
      <w:lvlText w:val="(%1)"/>
      <w:numFmt w:val="decimal"/>
      <w:start w:val="1"/>
    </w:lvl>
    <w:lvl w:ilvl="1">
      <w:lvlJc w:val="left"/>
      <w:lvlText w:val="(%2)"/>
      <w:numFmt w:val="upperLetter"/>
      <w:start w:val="1"/>
    </w:lvl>
  </w:abstractNum>
  <w:abstractNum w:abstractNumId="14">
    <w:nsid w:val="3F6AB60F"/>
    <w:multiLevelType w:val="hybridMultilevel"/>
    <w:lvl w:ilvl="0">
      <w:lvlJc w:val="left"/>
      <w:lvlText w:val="(%1)"/>
      <w:numFmt w:val="upperLetter"/>
      <w:start w:val="3"/>
    </w:lvl>
  </w:abstractNum>
  <w:abstractNum w:abstractNumId="15">
    <w:nsid w:val="61574095"/>
    <w:multiLevelType w:val="hybridMultilevel"/>
    <w:lvl w:ilvl="0">
      <w:lvlJc w:val="left"/>
      <w:lvlText w:val="(%1)"/>
      <w:numFmt w:val="lowerLetter"/>
      <w:start w:val="5"/>
    </w:lvl>
  </w:abstractNum>
  <w:abstractNum w:abstractNumId="16">
    <w:nsid w:val="7E0C57B1"/>
    <w:multiLevelType w:val="hybridMultilevel"/>
    <w:lvl w:ilvl="0">
      <w:lvlJc w:val="left"/>
      <w:lvlText w:val="(%1)"/>
      <w:numFmt w:val="lowerRoman"/>
      <w:start w:val="1"/>
    </w:lvl>
  </w:abstractNum>
  <w:abstractNum w:abstractNumId="17">
    <w:nsid w:val="77AE35EB"/>
    <w:multiLevelType w:val="hybridMultilevel"/>
    <w:lvl w:ilvl="0">
      <w:lvlJc w:val="left"/>
      <w:lvlText w:val="(%1)"/>
      <w:numFmt w:val="lowerRoman"/>
      <w:start w:val="2"/>
    </w:lvl>
  </w:abstractNum>
  <w:abstractNum w:abstractNumId="18">
    <w:nsid w:val="579BE4F1"/>
    <w:multiLevelType w:val="hybridMultilevel"/>
    <w:lvl w:ilvl="0">
      <w:lvlJc w:val="left"/>
      <w:lvlText w:val="(%1)"/>
      <w:numFmt w:val="lowerLetter"/>
      <w:start w:val="2"/>
    </w:lvl>
  </w:abstractNum>
  <w:abstractNum w:abstractNumId="19">
    <w:nsid w:val="310C50B3"/>
    <w:multiLevelType w:val="hybridMultilevel"/>
    <w:lvl w:ilvl="0">
      <w:lvlJc w:val="left"/>
      <w:lvlText w:val="(%1)"/>
      <w:numFmt w:val="lowerLetter"/>
      <w:start w:val="2"/>
    </w:lvl>
  </w:abstractNum>
  <w:abstractNum w:abstractNumId="20">
    <w:nsid w:val="5FF87E05"/>
    <w:multiLevelType w:val="hybridMultilevel"/>
    <w:lvl w:ilvl="0">
      <w:lvlJc w:val="left"/>
      <w:lvlText w:val="(%1)"/>
      <w:numFmt w:val="lowerLetter"/>
      <w:start w:val="3"/>
    </w:lvl>
  </w:abstractNum>
  <w:abstractNum w:abstractNumId="21">
    <w:nsid w:val="2F305DEF"/>
    <w:multiLevelType w:val="hybridMultilevel"/>
    <w:lvl w:ilvl="0">
      <w:lvlJc w:val="left"/>
      <w:lvlText w:val="(%1)"/>
      <w:numFmt w:val="lowerLetter"/>
      <w:start w:val="7"/>
    </w:lvl>
  </w:abstractNum>
  <w:abstractNum w:abstractNumId="22">
    <w:nsid w:val="25A70BF7"/>
    <w:multiLevelType w:val="hybridMultilevel"/>
    <w:lvl w:ilvl="0">
      <w:lvlJc w:val="left"/>
      <w:lvlText w:val="(%1)"/>
      <w:numFmt w:val="lowerLetter"/>
      <w:start w:val="1"/>
    </w:lvl>
  </w:abstractNum>
  <w:abstractNum w:abstractNumId="23">
    <w:nsid w:val="1DBABF00"/>
    <w:multiLevelType w:val="hybridMultilevel"/>
    <w:lvl w:ilvl="0">
      <w:lvlJc w:val="left"/>
      <w:lvlText w:val="(%1)"/>
      <w:numFmt w:val="lowerLetter"/>
      <w:start w:val="7"/>
    </w:lvl>
  </w:abstractNum>
  <w:abstractNum w:abstractNumId="24">
    <w:nsid w:val="4AD084E9"/>
    <w:multiLevelType w:val="hybridMultilevel"/>
    <w:lvl w:ilvl="0">
      <w:lvlJc w:val="left"/>
      <w:lvlText w:val="(%1)"/>
      <w:numFmt w:val="lowerRoman"/>
      <w:start w:val="2"/>
    </w:lvl>
  </w:abstractNum>
  <w:abstractNum w:abstractNumId="25">
    <w:nsid w:val="1F48EAA1"/>
    <w:multiLevelType w:val="hybridMultilevel"/>
    <w:lvl w:ilvl="0">
      <w:lvlJc w:val="left"/>
      <w:lvlText w:val="(%1)"/>
      <w:numFmt w:val="lowerRoman"/>
      <w:start w:val="2"/>
    </w:lvl>
  </w:abstractNum>
  <w:abstractNum w:abstractNumId="26">
    <w:nsid w:val="1381823A"/>
    <w:multiLevelType w:val="hybridMultilevel"/>
    <w:lvl w:ilvl="0">
      <w:lvlJc w:val="left"/>
      <w:lvlText w:val="(%1)"/>
      <w:numFmt w:val="lowerLetter"/>
      <w:start w:val="1"/>
    </w:lvl>
  </w:abstractNum>
  <w:abstractNum w:abstractNumId="27">
    <w:nsid w:val="5DB70AE5"/>
    <w:multiLevelType w:val="hybridMultilevel"/>
    <w:lvl w:ilvl="0">
      <w:lvlJc w:val="left"/>
      <w:lvlText w:val="(%1)"/>
      <w:numFmt w:val="lowerLetter"/>
      <w:start w:val="1"/>
    </w:lvl>
    <w:lvl w:ilvl="1">
      <w:lvlJc w:val="left"/>
      <w:lvlText w:val="(%2)"/>
      <w:numFmt w:val="lowerRoman"/>
      <w:start w:val="1"/>
    </w:lvl>
  </w:abstractNum>
  <w:abstractNum w:abstractNumId="28">
    <w:nsid w:val="100F8FCA"/>
    <w:multiLevelType w:val="hybridMultilevel"/>
    <w:lvl w:ilvl="0">
      <w:lvlJc w:val="left"/>
      <w:lvlText w:val="(%1)"/>
      <w:numFmt w:val="lowerLetter"/>
      <w:start w:val="6"/>
    </w:lvl>
  </w:abstractNum>
  <w:abstractNum w:abstractNumId="29">
    <w:nsid w:val="6590700B"/>
    <w:multiLevelType w:val="hybridMultilevel"/>
    <w:lvl w:ilvl="0">
      <w:lvlJc w:val="left"/>
      <w:lvlText w:val="(%1)"/>
      <w:numFmt w:val="lowerLetter"/>
      <w:start w:val="1"/>
    </w:lvl>
  </w:abstractNum>
  <w:abstractNum w:abstractNumId="30">
    <w:nsid w:val="15014ACB"/>
    <w:multiLevelType w:val="hybridMultilevel"/>
    <w:lvl w:ilvl="0">
      <w:lvlJc w:val="left"/>
      <w:lvlText w:val="(%1)"/>
      <w:numFmt w:val="lowerLetter"/>
      <w:start w:val="4"/>
    </w:lvl>
  </w:abstractNum>
  <w:abstractNum w:abstractNumId="31">
    <w:nsid w:val="5F5E7FD0"/>
    <w:multiLevelType w:val="hybridMultilevel"/>
    <w:lvl w:ilvl="0">
      <w:lvlJc w:val="left"/>
      <w:lvlText w:val="(%1)"/>
      <w:numFmt w:val="lowerLetter"/>
      <w:start w:val="14"/>
    </w:lvl>
  </w:abstractNum>
  <w:abstractNum w:abstractNumId="32">
    <w:nsid w:val="98A3148"/>
    <w:multiLevelType w:val="hybridMultilevel"/>
    <w:lvl w:ilvl="0">
      <w:lvlJc w:val="left"/>
      <w:lvlText w:val="(%1)"/>
      <w:numFmt w:val="lowerLetter"/>
      <w:start w:val="2"/>
    </w:lvl>
    <w:lvl w:ilvl="1">
      <w:lvlJc w:val="left"/>
      <w:lvlText w:val="(%2)"/>
      <w:numFmt w:val="lowerRoman"/>
      <w:start w:val="1"/>
    </w:lvl>
  </w:abstractNum>
  <w:abstractNum w:abstractNumId="33">
    <w:nsid w:val="799D0247"/>
    <w:multiLevelType w:val="hybridMultilevel"/>
    <w:lvl w:ilvl="0">
      <w:lvlJc w:val="left"/>
      <w:lvlText w:val="(%1)"/>
      <w:numFmt w:val="lowerLetter"/>
      <w:start w:val="3"/>
    </w:lvl>
  </w:abstractNum>
  <w:abstractNum w:abstractNumId="34">
    <w:nsid w:val="6B94764"/>
    <w:multiLevelType w:val="hybridMultilevel"/>
    <w:lvl w:ilvl="0">
      <w:lvlJc w:val="left"/>
      <w:lvlText w:val="(%1)"/>
      <w:numFmt w:val="lowerLetter"/>
      <w:start w:val="1"/>
    </w:lvl>
  </w:abstractNum>
  <w:abstractNum w:abstractNumId="35">
    <w:nsid w:val="42C296BD"/>
    <w:multiLevelType w:val="hybridMultilevel"/>
    <w:lvl w:ilvl="0">
      <w:lvlJc w:val="left"/>
      <w:lvlText w:val="(%1)"/>
      <w:numFmt w:val="lowerLetter"/>
      <w:start w:val="1"/>
    </w:lvl>
  </w:abstractNum>
  <w:abstractNum w:abstractNumId="36">
    <w:nsid w:val="168E121F"/>
    <w:multiLevelType w:val="hybridMultilevel"/>
    <w:lvl w:ilvl="0">
      <w:lvlJc w:val="left"/>
      <w:lvlText w:val="(%1)"/>
      <w:numFmt w:val="lowerLetter"/>
      <w:start w:val="1"/>
    </w:lvl>
  </w:abstractNum>
  <w:abstractNum w:abstractNumId="37">
    <w:nsid w:val="1EBA5D23"/>
    <w:multiLevelType w:val="hybridMultilevel"/>
    <w:lvl w:ilvl="0">
      <w:lvlJc w:val="left"/>
      <w:lvlText w:val="(%1)"/>
      <w:numFmt w:val="lowerLetter"/>
      <w:start w:val="9"/>
    </w:lvl>
  </w:abstractNum>
  <w:abstractNum w:abstractNumId="38">
    <w:nsid w:val="661E3F1E"/>
    <w:multiLevelType w:val="hybridMultilevel"/>
    <w:lvl w:ilvl="0">
      <w:lvlJc w:val="left"/>
      <w:lvlText w:val="(%1)"/>
      <w:numFmt w:val="lowerLetter"/>
      <w:start w:val="1"/>
    </w:lvl>
  </w:abstractNum>
  <w:abstractNum w:abstractNumId="39">
    <w:nsid w:val="5DC79EA8"/>
    <w:multiLevelType w:val="hybridMultilevel"/>
    <w:lvl w:ilvl="0">
      <w:lvlJc w:val="left"/>
      <w:lvlText w:val="(%1)"/>
      <w:numFmt w:val="lowerLetter"/>
      <w:start w:val="5"/>
    </w:lvl>
  </w:abstractNum>
  <w:abstractNum w:abstractNumId="40">
    <w:nsid w:val="540A471C"/>
    <w:multiLevelType w:val="hybridMultilevel"/>
    <w:lvl w:ilvl="0">
      <w:lvlJc w:val="left"/>
      <w:lvlText w:val="(%1)"/>
      <w:numFmt w:val="lowerLetter"/>
      <w:start w:val="2"/>
    </w:lvl>
  </w:abstractNum>
  <w:abstractNum w:abstractNumId="41">
    <w:nsid w:val="7BD3EE7B"/>
    <w:multiLevelType w:val="hybridMultilevel"/>
    <w:lvl w:ilvl="0">
      <w:lvlJc w:val="left"/>
      <w:lvlText w:val="(%1)"/>
      <w:numFmt w:val="lowerRoman"/>
      <w:start w:val="2"/>
    </w:lvl>
    <w:lvl w:ilvl="1">
      <w:lvlJc w:val="left"/>
      <w:lvlText w:val="(%2)"/>
      <w:numFmt w:val="upperLetter"/>
      <w:start w:val="1"/>
    </w:lvl>
  </w:abstractNum>
  <w:abstractNum w:abstractNumId="42">
    <w:nsid w:val="51D9C564"/>
    <w:multiLevelType w:val="hybridMultilevel"/>
    <w:lvl w:ilvl="0">
      <w:lvlJc w:val="left"/>
      <w:lvlText w:val="%1"/>
      <w:numFmt w:val="lowerRoman"/>
      <w:start w:val="1"/>
    </w:lvl>
    <w:lvl w:ilvl="1">
      <w:lvlJc w:val="left"/>
      <w:lvlText w:val="(%2)"/>
      <w:numFmt w:val="lowerRoman"/>
      <w:start w:val="3"/>
    </w:lvl>
  </w:abstractNum>
  <w:abstractNum w:abstractNumId="43">
    <w:nsid w:val="613EFDC5"/>
    <w:multiLevelType w:val="hybridMultilevel"/>
    <w:lvl w:ilvl="0">
      <w:lvlJc w:val="left"/>
      <w:lvlText w:val="(%1)"/>
      <w:numFmt w:val="lowerRoman"/>
      <w:start w:val="4"/>
    </w:lvl>
    <w:lvl w:ilvl="1">
      <w:lvlJc w:val="left"/>
      <w:lvlText w:val="%2"/>
      <w:numFmt w:val="lowerRoman"/>
      <w:start w:val="1"/>
    </w:lvl>
  </w:abstractNum>
  <w:abstractNum w:abstractNumId="44">
    <w:nsid w:val="BF72B14"/>
    <w:multiLevelType w:val="hybridMultilevel"/>
    <w:lvl w:ilvl="0">
      <w:lvlJc w:val="left"/>
      <w:lvlText w:val="(%1)"/>
      <w:numFmt w:val="lowerRoman"/>
      <w:start w:val="5"/>
    </w:lvl>
  </w:abstractNum>
  <w:abstractNum w:abstractNumId="45">
    <w:nsid w:val="11447B73"/>
    <w:multiLevelType w:val="hybridMultilevel"/>
    <w:lvl w:ilvl="0">
      <w:lvlJc w:val="left"/>
      <w:lvlText w:val="%1"/>
      <w:numFmt w:val="lowerRoman"/>
      <w:start w:val="1"/>
    </w:lvl>
    <w:lvl w:ilvl="1">
      <w:lvlJc w:val="left"/>
      <w:lvlText w:val="(%2)"/>
      <w:numFmt w:val="lowerLetter"/>
      <w:start w:val="1"/>
    </w:lvl>
  </w:abstractNum>
  <w:abstractNum w:abstractNumId="46">
    <w:nsid w:val="42963E5A"/>
    <w:multiLevelType w:val="hybridMultilevel"/>
    <w:lvl w:ilvl="0">
      <w:lvlJc w:val="left"/>
      <w:lvlText w:val="(%1)"/>
      <w:numFmt w:val="lowerRoman"/>
      <w:start w:val="1"/>
    </w:lvl>
    <w:lvl w:ilvl="1">
      <w:lvlJc w:val="left"/>
      <w:lvlText w:val="%2"/>
      <w:numFmt w:val="lowerLetter"/>
      <w:start w:val="1"/>
    </w:lvl>
  </w:abstractNum>
  <w:abstractNum w:abstractNumId="47">
    <w:nsid w:val="A0382C5"/>
    <w:multiLevelType w:val="hybridMultilevel"/>
    <w:lvl w:ilvl="0">
      <w:lvlJc w:val="left"/>
      <w:lvlText w:val="(%1)"/>
      <w:numFmt w:val="lowerRoman"/>
      <w:start w:val="3"/>
    </w:lvl>
    <w:lvl w:ilvl="1">
      <w:lvlJc w:val="left"/>
      <w:lvlText w:val="(%2)"/>
      <w:numFmt w:val="upperLetter"/>
      <w:start w:val="2"/>
    </w:lvl>
  </w:abstractNum>
  <w:abstractNum w:abstractNumId="48">
    <w:nsid w:val="8F2B15E"/>
    <w:multiLevelType w:val="hybridMultilevel"/>
    <w:lvl w:ilvl="0">
      <w:lvlJc w:val="left"/>
      <w:lvlText w:val="(%1)"/>
      <w:numFmt w:val="lowerRoman"/>
      <w:start w:val="4"/>
    </w:lvl>
    <w:lvl w:ilvl="1">
      <w:lvlJc w:val="left"/>
      <w:lvlText w:val="(%2)"/>
      <w:numFmt w:val="upperLetter"/>
      <w:start w:val="1"/>
    </w:lvl>
  </w:abstractNum>
  <w:abstractNum w:abstractNumId="49">
    <w:nsid w:val="1A32234B"/>
    <w:multiLevelType w:val="hybridMultilevel"/>
    <w:lvl w:ilvl="0">
      <w:lvlJc w:val="left"/>
      <w:lvlText w:val="%1"/>
      <w:numFmt w:val="lowerLetter"/>
      <w:start w:val="1"/>
    </w:lvl>
    <w:lvl w:ilvl="1">
      <w:lvlJc w:val="left"/>
      <w:lvlText w:val="(%2)"/>
      <w:numFmt w:val="lowerLetter"/>
      <w:start w:val="2"/>
    </w:lvl>
  </w:abstractNum>
  <w:abstractNum w:abstractNumId="50">
    <w:nsid w:val="3B0FD379"/>
    <w:multiLevelType w:val="hybridMultilevel"/>
    <w:lvl w:ilvl="0">
      <w:lvlJc w:val="left"/>
      <w:lvlText w:val="(%1)"/>
      <w:numFmt w:val="lowerLetter"/>
      <w:start w:val="35"/>
    </w:lvl>
    <w:lvl w:ilvl="1">
      <w:lvlJc w:val="left"/>
      <w:lvlText w:val="%2"/>
      <w:numFmt w:val="lowerLetter"/>
      <w:start w:val="1"/>
    </w:lvl>
  </w:abstractNum>
  <w:abstractNum w:abstractNumId="51">
    <w:nsid w:val="68EB2F63"/>
    <w:multiLevelType w:val="hybridMultilevel"/>
    <w:lvl w:ilvl="0">
      <w:lvlJc w:val="left"/>
      <w:lvlText w:val="(%1)"/>
      <w:numFmt w:val="lowerLetter"/>
      <w:start w:val="3"/>
    </w:lvl>
  </w:abstractNum>
  <w:abstractNum w:abstractNumId="52">
    <w:nsid w:val="4962813B"/>
    <w:multiLevelType w:val="hybridMultilevel"/>
    <w:lvl w:ilvl="0">
      <w:lvlJc w:val="left"/>
      <w:lvlText w:val="%1"/>
      <w:numFmt w:val="decimal"/>
      <w:start w:val="1"/>
    </w:lvl>
    <w:lvl w:ilvl="1">
      <w:lvlJc w:val="left"/>
      <w:lvlText w:val="(%2)"/>
      <w:numFmt w:val="lowerLetter"/>
      <w:start w:val="4"/>
    </w:lvl>
  </w:abstractNum>
  <w:abstractNum w:abstractNumId="53">
    <w:nsid w:val="60B6DF70"/>
    <w:multiLevelType w:val="hybridMultilevel"/>
    <w:lvl w:ilvl="0">
      <w:lvlJc w:val="left"/>
      <w:lvlText w:val="(%1)"/>
      <w:numFmt w:val="decimal"/>
      <w:start w:val="1"/>
    </w:lvl>
    <w:lvl w:ilvl="1">
      <w:lvlJc w:val="left"/>
      <w:lvlText w:val="%2"/>
      <w:numFmt w:val="lowerLetter"/>
      <w:start w:val="1"/>
    </w:lvl>
  </w:abstractNum>
  <w:abstractNum w:abstractNumId="54">
    <w:nsid w:val="6A5EE64"/>
    <w:multiLevelType w:val="hybridMultilevel"/>
    <w:lvl w:ilvl="0">
      <w:lvlJc w:val="left"/>
      <w:lvlText w:val="(%1)"/>
      <w:numFmt w:val="lowerLetter"/>
      <w:start w:val="9"/>
    </w:lvl>
  </w:abstractNum>
  <w:abstractNum w:abstractNumId="55">
    <w:nsid w:val="14330624"/>
    <w:multiLevelType w:val="hybridMultilevel"/>
    <w:lvl w:ilvl="0">
      <w:lvlJc w:val="left"/>
      <w:lvlText w:val="(%1)"/>
      <w:numFmt w:val="lowerLetter"/>
      <w:start w:val="2"/>
    </w:lvl>
  </w:abstractNum>
  <w:abstractNum w:abstractNumId="56">
    <w:nsid w:val="7FFFCA11"/>
    <w:multiLevelType w:val="hybridMultilevel"/>
    <w:lvl w:ilvl="0">
      <w:lvlJc w:val="left"/>
      <w:lvlText w:val="(%1)"/>
      <w:numFmt w:val="lowerLetter"/>
      <w:start w:val="4"/>
    </w:lvl>
  </w:abstractNum>
  <w:abstractNum w:abstractNumId="57">
    <w:nsid w:val="1A27709E"/>
    <w:multiLevelType w:val="hybridMultilevel"/>
    <w:lvl w:ilvl="0">
      <w:lvlJc w:val="left"/>
      <w:lvlText w:val="(%1)"/>
      <w:numFmt w:val="lowerRoman"/>
      <w:start w:val="1"/>
    </w:lvl>
  </w:abstractNum>
  <w:abstractNum w:abstractNumId="58">
    <w:nsid w:val="71EA1109"/>
    <w:multiLevelType w:val="hybridMultilevel"/>
    <w:lvl w:ilvl="0">
      <w:lvlJc w:val="left"/>
      <w:lvlText w:val="(%1)"/>
      <w:numFmt w:val="lowerLetter"/>
      <w:start w:val="6"/>
    </w:lvl>
  </w:abstractNum>
  <w:abstractNum w:abstractNumId="59">
    <w:nsid w:val="100F59DC"/>
    <w:multiLevelType w:val="hybridMultilevel"/>
    <w:lvl w:ilvl="0">
      <w:lvlJc w:val="left"/>
      <w:lvlText w:val="(%1)"/>
      <w:numFmt w:val="lowerLetter"/>
      <w:start w:val="1"/>
    </w:lvl>
  </w:abstractNum>
  <w:abstractNum w:abstractNumId="60">
    <w:nsid w:val="7FB7E0AA"/>
    <w:multiLevelType w:val="hybridMultilevel"/>
    <w:lvl w:ilvl="0">
      <w:lvlJc w:val="left"/>
      <w:lvlText w:val="(%1)"/>
      <w:numFmt w:val="lowerLetter"/>
      <w:start w:val="2"/>
    </w:lvl>
  </w:abstractNum>
  <w:abstractNum w:abstractNumId="61">
    <w:nsid w:val="6EB5BD4"/>
    <w:multiLevelType w:val="hybridMultilevel"/>
    <w:lvl w:ilvl="0">
      <w:lvlJc w:val="left"/>
      <w:lvlText w:val="X"/>
      <w:numFmt w:val="bullet"/>
      <w:start w:val="1"/>
    </w:lvl>
  </w:abstractNum>
  <w:abstractNum w:abstractNumId="62">
    <w:nsid w:val="6F6DD9AC"/>
    <w:multiLevelType w:val="hybridMultilevel"/>
    <w:lvl w:ilvl="0">
      <w:lvlJc w:val="left"/>
      <w:lvlText w:val="Y"/>
      <w:numFmt w:val="bullet"/>
      <w:start w:val="1"/>
    </w:lvl>
  </w:abstractNum>
  <w:abstractNum w:abstractNumId="63">
    <w:nsid w:val="94211F2"/>
    <w:multiLevelType w:val="hybridMultilevel"/>
    <w:lvl w:ilvl="0">
      <w:lvlJc w:val="left"/>
      <w:lvlText w:val="(%1)"/>
      <w:numFmt w:val="lowerLetter"/>
      <w:start w:val="3"/>
    </w:lvl>
  </w:abstractNum>
  <w:abstractNum w:abstractNumId="64">
    <w:nsid w:val="885E1B"/>
    <w:multiLevelType w:val="hybridMultilevel"/>
    <w:lvl w:ilvl="0">
      <w:lvlJc w:val="left"/>
      <w:lvlText w:val="(%1)"/>
      <w:numFmt w:val="upperLetter"/>
      <w:start w:val="1"/>
    </w:lvl>
  </w:abstractNum>
  <w:abstractNum w:abstractNumId="65">
    <w:nsid w:val="76272110"/>
    <w:multiLevelType w:val="hybridMultilevel"/>
    <w:lvl w:ilvl="0">
      <w:lvlJc w:val="left"/>
      <w:lvlText w:val="(%1)"/>
      <w:numFmt w:val="lowerLetter"/>
      <w:start w:val="4"/>
    </w:lvl>
  </w:abstractNum>
  <w:abstractNum w:abstractNumId="66">
    <w:nsid w:val="4C04A8AF"/>
    <w:multiLevelType w:val="hybridMultilevel"/>
    <w:lvl w:ilvl="0">
      <w:lvlJc w:val="left"/>
      <w:lvlText w:val="C"/>
      <w:numFmt w:val="bullet"/>
      <w:start w:val="1"/>
    </w:lvl>
  </w:abstractNum>
  <w:abstractNum w:abstractNumId="67">
    <w:nsid w:val="1716703B"/>
    <w:multiLevelType w:val="hybridMultilevel"/>
    <w:lvl w:ilvl="0">
      <w:lvlJc w:val="left"/>
      <w:lvlText w:val="(%1)"/>
      <w:numFmt w:val="lowerLetter"/>
      <w:start w:val="5"/>
    </w:lvl>
  </w:abstractNum>
  <w:abstractNum w:abstractNumId="68">
    <w:nsid w:val="14E17E33"/>
    <w:multiLevelType w:val="hybridMultilevel"/>
    <w:lvl w:ilvl="0">
      <w:lvlJc w:val="left"/>
      <w:lvlText w:val="(%1)"/>
      <w:numFmt w:val="lowerLetter"/>
      <w:start w:val="6"/>
    </w:lvl>
  </w:abstractNum>
  <w:abstractNum w:abstractNumId="69">
    <w:nsid w:val="3222E7CD"/>
    <w:multiLevelType w:val="hybridMultilevel"/>
    <w:lvl w:ilvl="0">
      <w:lvlJc w:val="left"/>
      <w:lvlText w:val="(%1)"/>
      <w:numFmt w:val="lowerRoman"/>
      <w:start w:val="1"/>
    </w:lvl>
    <w:lvl w:ilvl="1">
      <w:lvlJc w:val="left"/>
      <w:lvlText w:val="(%2)"/>
      <w:numFmt w:val="lowerRoman"/>
      <w:start w:val="1"/>
    </w:lvl>
  </w:abstractNum>
  <w:abstractNum w:abstractNumId="70">
    <w:nsid w:val="74DE0EE3"/>
    <w:multiLevelType w:val="hybridMultilevel"/>
    <w:lvl w:ilvl="0">
      <w:lvlJc w:val="left"/>
      <w:lvlText w:val="%1"/>
      <w:numFmt w:val="lowerLetter"/>
      <w:start w:val="1"/>
    </w:lvl>
    <w:lvl w:ilvl="1">
      <w:lvlJc w:val="left"/>
      <w:lvlText w:val="(%2)"/>
      <w:numFmt w:val="lowerLetter"/>
      <w:start w:val="10"/>
    </w:lvl>
  </w:abstractNum>
  <w:abstractNum w:abstractNumId="71">
    <w:nsid w:val="68EBC550"/>
    <w:multiLevelType w:val="hybridMultilevel"/>
    <w:lvl w:ilvl="0">
      <w:lvlJc w:val="left"/>
      <w:lvlText w:val="(%1)"/>
      <w:numFmt w:val="lowerLetter"/>
      <w:start w:val="24"/>
    </w:lvl>
    <w:lvl w:ilvl="1">
      <w:lvlJc w:val="left"/>
      <w:lvlText w:val="%2"/>
      <w:numFmt w:val="lowerLetter"/>
      <w:start w:val="1"/>
    </w:lvl>
  </w:abstractNum>
  <w:abstractNum w:abstractNumId="72">
    <w:nsid w:val="2DF6D648"/>
    <w:multiLevelType w:val="hybridMultilevel"/>
    <w:lvl w:ilvl="0">
      <w:lvlJc w:val="left"/>
      <w:lvlText w:val="(%1)"/>
      <w:numFmt w:val="lowerLetter"/>
      <w:start w:val="11"/>
    </w:lvl>
  </w:abstractNum>
  <w:abstractNum w:abstractNumId="73">
    <w:nsid w:val="46B7D447"/>
    <w:multiLevelType w:val="hybridMultilevel"/>
    <w:lvl w:ilvl="0">
      <w:lvlJc w:val="left"/>
      <w:lvlText w:val="(%1)"/>
      <w:numFmt w:val="lowerLetter"/>
      <w:start w:val="1"/>
    </w:lvl>
    <w:lvl w:ilvl="1">
      <w:lvlJc w:val="left"/>
      <w:lvlText w:val="(%2)"/>
      <w:numFmt w:val="lowerRoman"/>
      <w:start w:val="1"/>
    </w:lvl>
  </w:abstractNum>
  <w:abstractNum w:abstractNumId="74">
    <w:nsid w:val="4A2AC315"/>
    <w:multiLevelType w:val="hybridMultilevel"/>
    <w:lvl w:ilvl="0">
      <w:lvlJc w:val="left"/>
      <w:lvlText w:val="(%1)"/>
      <w:numFmt w:val="lowerRoman"/>
      <w:start w:val="3"/>
    </w:lvl>
  </w:abstractNum>
  <w:abstractNum w:abstractNumId="75">
    <w:nsid w:val="39EE015C"/>
    <w:multiLevelType w:val="hybridMultilevel"/>
    <w:lvl w:ilvl="0">
      <w:lvlJc w:val="left"/>
      <w:lvlText w:val="(%1)"/>
      <w:numFmt w:val="lowerLetter"/>
      <w:start w:val="2"/>
    </w:lvl>
  </w:abstractNum>
  <w:abstractNum w:abstractNumId="76">
    <w:nsid w:val="57FC4FBB"/>
    <w:multiLevelType w:val="hybridMultilevel"/>
    <w:lvl w:ilvl="0">
      <w:lvlJc w:val="left"/>
      <w:lvlText w:val="(%1)"/>
      <w:numFmt w:val="lowerLetter"/>
      <w:start w:val="2"/>
    </w:lvl>
  </w:abstractNum>
  <w:abstractNum w:abstractNumId="77">
    <w:nsid w:val="CC1016F"/>
    <w:multiLevelType w:val="hybridMultilevel"/>
    <w:lvl w:ilvl="0">
      <w:lvlJc w:val="left"/>
      <w:lvlText w:val="(%1)"/>
      <w:numFmt w:val="lowerLetter"/>
      <w:start w:val="1"/>
    </w:lvl>
  </w:abstractNum>
  <w:abstractNum w:abstractNumId="78">
    <w:nsid w:val="43F18422"/>
    <w:multiLevelType w:val="hybridMultilevel"/>
    <w:lvl w:ilvl="0">
      <w:lvlJc w:val="left"/>
      <w:lvlText w:val="(%1)"/>
      <w:numFmt w:val="lowerLetter"/>
      <w:start w:val="2"/>
    </w:lvl>
  </w:abstractNum>
  <w:abstractNum w:abstractNumId="79">
    <w:nsid w:val="60EF0119"/>
    <w:multiLevelType w:val="hybridMultilevel"/>
    <w:lvl w:ilvl="0">
      <w:lvlJc w:val="left"/>
      <w:lvlText w:val="(%1)"/>
      <w:numFmt w:val="lowerLetter"/>
      <w:start w:val="3"/>
    </w:lvl>
  </w:abstractNum>
  <w:abstractNum w:abstractNumId="80">
    <w:nsid w:val="26F324BA"/>
    <w:multiLevelType w:val="hybridMultilevel"/>
    <w:lvl w:ilvl="0">
      <w:lvlJc w:val="left"/>
      <w:lvlText w:val="(%1)"/>
      <w:numFmt w:val="lowerRoman"/>
      <w:start w:val="1"/>
    </w:lvl>
  </w:abstractNum>
  <w:abstractNum w:abstractNumId="81">
    <w:nsid w:val="7F01579B"/>
    <w:multiLevelType w:val="hybridMultilevel"/>
    <w:lvl w:ilvl="0">
      <w:lvlJc w:val="left"/>
      <w:lvlText w:val="(%1)"/>
      <w:numFmt w:val="upperLetter"/>
      <w:start w:val="1"/>
    </w:lvl>
  </w:abstractNum>
  <w:abstractNum w:abstractNumId="82">
    <w:nsid w:val="49DA307D"/>
    <w:multiLevelType w:val="hybridMultilevel"/>
    <w:lvl w:ilvl="0">
      <w:lvlJc w:val="left"/>
      <w:lvlText w:val="(%1)"/>
      <w:numFmt w:val="upperLetter"/>
      <w:start w:val="1"/>
    </w:lvl>
  </w:abstractNum>
  <w:abstractNum w:abstractNumId="83">
    <w:nsid w:val="7055A5F5"/>
    <w:multiLevelType w:val="hybridMultilevel"/>
    <w:lvl w:ilvl="0">
      <w:lvlJc w:val="left"/>
      <w:lvlText w:val="(%1)"/>
      <w:numFmt w:val="lowerLetter"/>
      <w:start w:val="2"/>
    </w:lvl>
  </w:abstractNum>
  <w:abstractNum w:abstractNumId="84">
    <w:nsid w:val="5FB8370B"/>
    <w:multiLevelType w:val="hybridMultilevel"/>
    <w:lvl w:ilvl="0">
      <w:lvlJc w:val="left"/>
      <w:lvlText w:val="(%1)"/>
      <w:numFmt w:val="lowerLetter"/>
      <w:start w:val="2"/>
    </w:lvl>
  </w:abstractNum>
  <w:abstractNum w:abstractNumId="85">
    <w:nsid w:val="50801EE1"/>
    <w:multiLevelType w:val="hybridMultilevel"/>
    <w:lvl w:ilvl="0">
      <w:lvlJc w:val="left"/>
      <w:lvlText w:val="(%1)"/>
      <w:numFmt w:val="lowerRoman"/>
      <w:start w:val="1"/>
    </w:lvl>
  </w:abstractNum>
  <w:abstractNum w:abstractNumId="86">
    <w:nsid w:val="488AC1A"/>
    <w:multiLevelType w:val="hybridMultilevel"/>
    <w:lvl w:ilvl="0">
      <w:lvlJc w:val="left"/>
      <w:lvlText w:val="(%1)"/>
      <w:numFmt w:val="lowerRoman"/>
      <w:start w:val="1"/>
    </w:lvl>
  </w:abstractNum>
  <w:abstractNum w:abstractNumId="87">
    <w:nsid w:val="5FB8011C"/>
    <w:multiLevelType w:val="hybridMultilevel"/>
    <w:lvl w:ilvl="0">
      <w:lvlJc w:val="left"/>
      <w:lvlText w:val="(%1)"/>
      <w:numFmt w:val="lowerLetter"/>
      <w:start w:val="3"/>
    </w:lvl>
  </w:abstractNum>
  <w:abstractNum w:abstractNumId="88">
    <w:nsid w:val="6AA78F7F"/>
    <w:multiLevelType w:val="hybridMultilevel"/>
    <w:lvl w:ilvl="0">
      <w:lvlJc w:val="left"/>
      <w:lvlText w:val="(%1)"/>
      <w:numFmt w:val="lowerRoman"/>
      <w:start w:val="1"/>
    </w:lvl>
  </w:abstractNum>
  <w:abstractNum w:abstractNumId="89">
    <w:nsid w:val="7672BD23"/>
    <w:multiLevelType w:val="hybridMultilevel"/>
    <w:lvl w:ilvl="0">
      <w:lvlJc w:val="left"/>
      <w:lvlText w:val="(%1)"/>
      <w:numFmt w:val="lowerLetter"/>
      <w:start w:val="4"/>
    </w:lvl>
  </w:abstractNum>
  <w:abstractNum w:abstractNumId="90">
    <w:nsid w:val="6FC75AF8"/>
    <w:multiLevelType w:val="hybridMultilevel"/>
    <w:lvl w:ilvl="0">
      <w:lvlJc w:val="left"/>
      <w:lvlText w:val="(%1)"/>
      <w:numFmt w:val="lowerLetter"/>
      <w:start w:val="5"/>
    </w:lvl>
  </w:abstractNum>
  <w:abstractNum w:abstractNumId="91">
    <w:nsid w:val="6A5F7029"/>
    <w:multiLevelType w:val="hybridMultilevel"/>
    <w:lvl w:ilvl="0">
      <w:lvlJc w:val="left"/>
      <w:lvlText w:val="(%1)"/>
      <w:numFmt w:val="lowerRoman"/>
      <w:start w:val="1"/>
    </w:lvl>
  </w:abstractNum>
  <w:abstractNum w:abstractNumId="92">
    <w:nsid w:val="7D5E18F8"/>
    <w:multiLevelType w:val="hybridMultilevel"/>
    <w:lvl w:ilvl="0">
      <w:lvlJc w:val="left"/>
      <w:lvlText w:val="(%1)"/>
      <w:numFmt w:val="lowerRoman"/>
      <w:start w:val="3"/>
    </w:lvl>
  </w:abstractNum>
  <w:abstractNum w:abstractNumId="93">
    <w:nsid w:val="5F3534A4"/>
    <w:multiLevelType w:val="hybridMultilevel"/>
    <w:lvl w:ilvl="0">
      <w:lvlJc w:val="left"/>
      <w:lvlText w:val="(%1)"/>
      <w:numFmt w:val="lowerLetter"/>
      <w:start w:val="2"/>
    </w:lvl>
  </w:abstractNum>
  <w:abstractNum w:abstractNumId="94">
    <w:nsid w:val="73A1821B"/>
    <w:multiLevelType w:val="hybridMultilevel"/>
    <w:lvl w:ilvl="0">
      <w:lvlJc w:val="left"/>
      <w:lvlText w:val="(%1)"/>
      <w:numFmt w:val="lowerLetter"/>
      <w:start w:val="1"/>
    </w:lvl>
  </w:abstractNum>
  <w:abstractNum w:abstractNumId="95">
    <w:nsid w:val="7DE67713"/>
    <w:multiLevelType w:val="hybridMultilevel"/>
    <w:lvl w:ilvl="0">
      <w:lvlJc w:val="left"/>
      <w:lvlText w:val="(%1)"/>
      <w:numFmt w:val="lowerLetter"/>
      <w:start w:val="2"/>
    </w:lvl>
    <w:lvl w:ilvl="1">
      <w:lvlJc w:val="left"/>
      <w:lvlText w:val="(%2)"/>
      <w:numFmt w:val="lowerRoman"/>
      <w:start w:val="1"/>
    </w:lvl>
  </w:abstractNum>
  <w:abstractNum w:abstractNumId="96">
    <w:nsid w:val="555C55B5"/>
    <w:multiLevelType w:val="hybridMultilevel"/>
    <w:lvl w:ilvl="0">
      <w:lvlJc w:val="left"/>
      <w:lvlText w:val="(%1)"/>
      <w:numFmt w:val="lowerRoman"/>
      <w:start w:val="4"/>
    </w:lvl>
  </w:abstractNum>
  <w:abstractNum w:abstractNumId="97">
    <w:nsid w:val="3FA62ACA"/>
    <w:multiLevelType w:val="hybridMultilevel"/>
    <w:lvl w:ilvl="0">
      <w:lvlJc w:val="left"/>
      <w:lvlText w:val="(%1)"/>
      <w:numFmt w:val="lowerLetter"/>
      <w:start w:val="4"/>
    </w:lvl>
  </w:abstractNum>
  <w:abstractNum w:abstractNumId="98">
    <w:nsid w:val="14FCE74E"/>
    <w:multiLevelType w:val="hybridMultilevel"/>
    <w:lvl w:ilvl="0">
      <w:lvlJc w:val="left"/>
      <w:lvlText w:val="(%1)"/>
      <w:numFmt w:val="lowerLetter"/>
      <w:start w:val="2"/>
    </w:lvl>
  </w:abstractNum>
  <w:abstractNum w:abstractNumId="99">
    <w:nsid w:val="6A3DD3E8"/>
    <w:multiLevelType w:val="hybridMultilevel"/>
    <w:lvl w:ilvl="0">
      <w:lvlJc w:val="left"/>
      <w:lvlText w:val="(%1)"/>
      <w:numFmt w:val="decimal"/>
      <w:start w:val="1"/>
    </w:lvl>
    <w:lvl w:ilvl="1">
      <w:lvlJc w:val="left"/>
      <w:lvlText w:val="(%2)"/>
      <w:numFmt w:val="upperLetter"/>
      <w:start w:val="1"/>
    </w:lvl>
  </w:abstractNum>
  <w:abstractNum w:abstractNumId="100">
    <w:nsid w:val="71C91298"/>
    <w:multiLevelType w:val="hybridMultilevel"/>
    <w:lvl w:ilvl="0">
      <w:lvlJc w:val="left"/>
      <w:lvlText w:val="(%1)"/>
      <w:numFmt w:val="upperLetter"/>
      <w:start w:val="3"/>
    </w:lvl>
  </w:abstractNum>
  <w:abstractNum w:abstractNumId="101">
    <w:nsid w:val="9DAF632"/>
    <w:multiLevelType w:val="hybridMultilevel"/>
    <w:lvl w:ilvl="0">
      <w:lvlJc w:val="left"/>
      <w:lvlText w:val="1"/>
      <w:numFmt w:val="bullet"/>
      <w:start w:val="1"/>
    </w:lvl>
  </w:abstractNum>
  <w:abstractNum w:abstractNumId="102">
    <w:nsid w:val="53299938"/>
    <w:multiLevelType w:val="hybridMultilevel"/>
    <w:lvl w:ilvl="0">
      <w:lvlJc w:val="left"/>
      <w:lvlText w:val="2"/>
      <w:numFmt w:val="bullet"/>
      <w:start w:val="1"/>
    </w:lvl>
  </w:abstractNum>
  <w:abstractNum w:abstractNumId="103">
    <w:nsid w:val="1FBFE8E0"/>
    <w:multiLevelType w:val="hybridMultilevel"/>
    <w:lvl w:ilvl="0">
      <w:lvlJc w:val="left"/>
      <w:lvlText w:val="3"/>
      <w:numFmt w:val="bullet"/>
      <w:start w:val="1"/>
    </w:lvl>
  </w:abstractNum>
  <w:abstractNum w:abstractNumId="104">
    <w:nsid w:val="5092CA79"/>
    <w:multiLevelType w:val="hybridMultilevel"/>
    <w:lvl w:ilvl="0">
      <w:lvlJc w:val="left"/>
      <w:lvlText w:val="4"/>
      <w:numFmt w:val="bullet"/>
      <w:start w:val="1"/>
    </w:lvl>
  </w:abstractNum>
  <w:abstractNum w:abstractNumId="105">
    <w:nsid w:val="1D545C4D"/>
    <w:multiLevelType w:val="hybridMultilevel"/>
    <w:lvl w:ilvl="0">
      <w:lvlJc w:val="left"/>
      <w:lvlText w:val="5"/>
      <w:numFmt w:val="bullet"/>
      <w:start w:val="1"/>
    </w:lvl>
  </w:abstractNum>
  <w:abstractNum w:abstractNumId="106">
    <w:nsid w:val="59ADEA3D"/>
    <w:multiLevelType w:val="hybridMultilevel"/>
    <w:lvl w:ilvl="0">
      <w:lvlJc w:val="left"/>
      <w:lvlText w:val="6"/>
      <w:numFmt w:val="bullet"/>
      <w:start w:val="1"/>
    </w:lvl>
  </w:abstractNum>
  <w:abstractNum w:abstractNumId="107">
    <w:nsid w:val="288F1A34"/>
    <w:multiLevelType w:val="hybridMultilevel"/>
    <w:lvl w:ilvl="0">
      <w:lvlJc w:val="left"/>
      <w:lvlText w:val="☐"/>
      <w:numFmt w:val="bullet"/>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 Id="rId20" Type="http://schemas.openxmlformats.org/officeDocument/2006/relationships/image" Target="media/image13.png"/><Relationship Id="rId21" Type="http://schemas.openxmlformats.org/officeDocument/2006/relationships/image" Target="media/image14.png"/><Relationship Id="rId22" Type="http://schemas.openxmlformats.org/officeDocument/2006/relationships/image" Target="media/image15.png"/><Relationship Id="rId23" Type="http://schemas.openxmlformats.org/officeDocument/2006/relationships/image" Target="media/image16.png"/><Relationship Id="rId24" Type="http://schemas.openxmlformats.org/officeDocument/2006/relationships/image" Target="media/image17.png"/><Relationship Id="rId25" Type="http://schemas.openxmlformats.org/officeDocument/2006/relationships/image" Target="media/image18.png"/><Relationship Id="rId26" Type="http://schemas.openxmlformats.org/officeDocument/2006/relationships/image" Target="media/image19.png"/><Relationship Id="rId27" Type="http://schemas.openxmlformats.org/officeDocument/2006/relationships/image" Target="media/image20.png"/><Relationship Id="rId28" Type="http://schemas.openxmlformats.org/officeDocument/2006/relationships/image" Target="media/image21.png"/><Relationship Id="rId29" Type="http://schemas.openxmlformats.org/officeDocument/2006/relationships/image" Target="media/image22.png"/><Relationship Id="rId30" Type="http://schemas.openxmlformats.org/officeDocument/2006/relationships/image" Target="media/image23.png"/><Relationship Id="rId31" Type="http://schemas.openxmlformats.org/officeDocument/2006/relationships/image" Target="media/image24.png"/><Relationship Id="rId32" Type="http://schemas.openxmlformats.org/officeDocument/2006/relationships/image" Target="media/image25.png"/><Relationship Id="rId33" Type="http://schemas.openxmlformats.org/officeDocument/2006/relationships/image" Target="media/image26.png"/><Relationship Id="rId34" Type="http://schemas.openxmlformats.org/officeDocument/2006/relationships/image" Target="media/image27.png"/><Relationship Id="rId35" Type="http://schemas.openxmlformats.org/officeDocument/2006/relationships/image" Target="media/image28.png"/><Relationship Id="rId36" Type="http://schemas.openxmlformats.org/officeDocument/2006/relationships/image" Target="media/image29.png"/><Relationship Id="rId37" Type="http://schemas.openxmlformats.org/officeDocument/2006/relationships/image" Target="media/image30.png"/><Relationship Id="rId38" Type="http://schemas.openxmlformats.org/officeDocument/2006/relationships/image" Target="media/image31.png"/><Relationship Id="rId39" Type="http://schemas.openxmlformats.org/officeDocument/2006/relationships/image" Target="media/image32.png"/><Relationship Id="rId40" Type="http://schemas.openxmlformats.org/officeDocument/2006/relationships/image" Target="media/image33.png"/><Relationship Id="rId41" Type="http://schemas.openxmlformats.org/officeDocument/2006/relationships/image" Target="media/image34.png"/><Relationship Id="rId42" Type="http://schemas.openxmlformats.org/officeDocument/2006/relationships/image" Target="media/image35.png"/><Relationship Id="rId43" Type="http://schemas.openxmlformats.org/officeDocument/2006/relationships/image" Target="media/image36.png"/><Relationship Id="rId44" Type="http://schemas.openxmlformats.org/officeDocument/2006/relationships/image" Target="media/image37.png"/><Relationship Id="rId45" Type="http://schemas.openxmlformats.org/officeDocument/2006/relationships/image" Target="media/image38.png"/><Relationship Id="rId46" Type="http://schemas.openxmlformats.org/officeDocument/2006/relationships/image" Target="media/image39.png"/><Relationship Id="rId47" Type="http://schemas.openxmlformats.org/officeDocument/2006/relationships/image" Target="media/image40.png"/><Relationship Id="rId48" Type="http://schemas.openxmlformats.org/officeDocument/2006/relationships/image" Target="media/image41.png"/><Relationship Id="rId49" Type="http://schemas.openxmlformats.org/officeDocument/2006/relationships/image" Target="media/image42.png"/><Relationship Id="rId50" Type="http://schemas.openxmlformats.org/officeDocument/2006/relationships/image" Target="media/image43.png"/><Relationship Id="rId51" Type="http://schemas.openxmlformats.org/officeDocument/2006/relationships/image" Target="media/image44.png"/><Relationship Id="rId52" Type="http://schemas.openxmlformats.org/officeDocument/2006/relationships/image" Target="media/image45.png"/><Relationship Id="rId53" Type="http://schemas.openxmlformats.org/officeDocument/2006/relationships/image" Target="media/image46.png"/><Relationship Id="rId54" Type="http://schemas.openxmlformats.org/officeDocument/2006/relationships/image" Target="media/image47.png"/><Relationship Id="rId55" Type="http://schemas.openxmlformats.org/officeDocument/2006/relationships/image" Target="media/image48.png"/><Relationship Id="rId56" Type="http://schemas.openxmlformats.org/officeDocument/2006/relationships/image" Target="media/image49.png"/><Relationship Id="rId57" Type="http://schemas.openxmlformats.org/officeDocument/2006/relationships/image" Target="media/image50.png"/><Relationship Id="rId58" Type="http://schemas.openxmlformats.org/officeDocument/2006/relationships/image" Target="media/image51.png"/><Relationship Id="rId59" Type="http://schemas.openxmlformats.org/officeDocument/2006/relationships/image" Target="media/image52.png"/><Relationship Id="rId60" Type="http://schemas.openxmlformats.org/officeDocument/2006/relationships/image" Target="media/image53.png"/><Relationship Id="rId61" Type="http://schemas.openxmlformats.org/officeDocument/2006/relationships/image" Target="media/image54.png"/><Relationship Id="rId62" Type="http://schemas.openxmlformats.org/officeDocument/2006/relationships/image" Target="media/image55.png"/><Relationship Id="rId63" Type="http://schemas.openxmlformats.org/officeDocument/2006/relationships/image" Target="media/image56.png"/><Relationship Id="rId64" Type="http://schemas.openxmlformats.org/officeDocument/2006/relationships/image" Target="media/image57.png"/><Relationship Id="rId65" Type="http://schemas.openxmlformats.org/officeDocument/2006/relationships/image" Target="media/image58.png"/><Relationship Id="rId66" Type="http://schemas.openxmlformats.org/officeDocument/2006/relationships/image" Target="media/image59.png"/><Relationship Id="rId67" Type="http://schemas.openxmlformats.org/officeDocument/2006/relationships/image" Target="media/image60.png"/><Relationship Id="rId68" Type="http://schemas.openxmlformats.org/officeDocument/2006/relationships/image" Target="media/image61.png"/><Relationship Id="rId69" Type="http://schemas.openxmlformats.org/officeDocument/2006/relationships/image" Target="media/image62.png"/><Relationship Id="rId70" Type="http://schemas.openxmlformats.org/officeDocument/2006/relationships/image" Target="media/image63.png"/><Relationship Id="rId71" Type="http://schemas.openxmlformats.org/officeDocument/2006/relationships/image" Target="media/image64.png"/><Relationship Id="rId72" Type="http://schemas.openxmlformats.org/officeDocument/2006/relationships/image" Target="media/image65.png"/><Relationship Id="rId73" Type="http://schemas.openxmlformats.org/officeDocument/2006/relationships/image" Target="media/image66.png"/><Relationship Id="rId74" Type="http://schemas.openxmlformats.org/officeDocument/2006/relationships/image" Target="media/image67.png"/><Relationship Id="rId75" Type="http://schemas.openxmlformats.org/officeDocument/2006/relationships/image" Target="media/image68.png"/><Relationship Id="rId76" Type="http://schemas.openxmlformats.org/officeDocument/2006/relationships/image" Target="media/image69.png"/><Relationship Id="rId77" Type="http://schemas.openxmlformats.org/officeDocument/2006/relationships/image" Target="media/image70.png"/><Relationship Id="rId78" Type="http://schemas.openxmlformats.org/officeDocument/2006/relationships/image" Target="media/image71.png"/><Relationship Id="rId79" Type="http://schemas.openxmlformats.org/officeDocument/2006/relationships/image" Target="media/image72.png"/><Relationship Id="rId80" Type="http://schemas.openxmlformats.org/officeDocument/2006/relationships/image" Target="media/image73.png"/><Relationship Id="rId81" Type="http://schemas.openxmlformats.org/officeDocument/2006/relationships/image" Target="media/image74.png"/><Relationship Id="rId82" Type="http://schemas.openxmlformats.org/officeDocument/2006/relationships/image" Target="media/image75.png"/><Relationship Id="rId83" Type="http://schemas.openxmlformats.org/officeDocument/2006/relationships/image" Target="media/image76.png"/><Relationship Id="rId84" Type="http://schemas.openxmlformats.org/officeDocument/2006/relationships/image" Target="media/image77.png"/><Relationship Id="rId85" Type="http://schemas.openxmlformats.org/officeDocument/2006/relationships/image" Target="media/image78.png"/><Relationship Id="rId86" Type="http://schemas.openxmlformats.org/officeDocument/2006/relationships/image" Target="media/image79.png"/><Relationship Id="rId87" Type="http://schemas.openxmlformats.org/officeDocument/2006/relationships/image" Target="media/image80.png"/><Relationship Id="rId88" Type="http://schemas.openxmlformats.org/officeDocument/2006/relationships/image" Target="media/image81.png"/><Relationship Id="rId89" Type="http://schemas.openxmlformats.org/officeDocument/2006/relationships/image" Target="media/image82.png"/><Relationship Id="rId90" Type="http://schemas.openxmlformats.org/officeDocument/2006/relationships/image" Target="media/image83.png"/><Relationship Id="rId91" Type="http://schemas.openxmlformats.org/officeDocument/2006/relationships/image" Target="media/image84.png"/><Relationship Id="rId92" Type="http://schemas.openxmlformats.org/officeDocument/2006/relationships/image" Target="media/image85.png"/><Relationship Id="rId93" Type="http://schemas.openxmlformats.org/officeDocument/2006/relationships/image" Target="media/image86.png"/><Relationship Id="rId94" Type="http://schemas.openxmlformats.org/officeDocument/2006/relationships/image" Target="media/image87.png"/><Relationship Id="rId95" Type="http://schemas.openxmlformats.org/officeDocument/2006/relationships/image" Target="media/image88.png"/><Relationship Id="rId96" Type="http://schemas.openxmlformats.org/officeDocument/2006/relationships/image" Target="media/image89.png"/><Relationship Id="rId97" Type="http://schemas.openxmlformats.org/officeDocument/2006/relationships/image" Target="media/image90.png"/><Relationship Id="rId98" Type="http://schemas.openxmlformats.org/officeDocument/2006/relationships/image" Target="media/image91.jpeg"/><Relationship Id="rId99" Type="http://schemas.openxmlformats.org/officeDocument/2006/relationships/image" Target="media/image92.png"/><Relationship Id="rId100" Type="http://schemas.openxmlformats.org/officeDocument/2006/relationships/image" Target="media/image93.jpeg"/><Relationship Id="rId101" Type="http://schemas.openxmlformats.org/officeDocument/2006/relationships/image" Target="media/image94.png"/><Relationship Id="rId102" Type="http://schemas.openxmlformats.org/officeDocument/2006/relationships/image" Target="media/image95.jpeg"/><Relationship Id="rId103" Type="http://schemas.openxmlformats.org/officeDocument/2006/relationships/image" Target="media/image96.png"/><Relationship Id="rId104" Type="http://schemas.openxmlformats.org/officeDocument/2006/relationships/image" Target="media/image97.jpeg"/><Relationship Id="rId105" Type="http://schemas.openxmlformats.org/officeDocument/2006/relationships/image" Target="media/image98.png"/><Relationship Id="rId106" Type="http://schemas.openxmlformats.org/officeDocument/2006/relationships/image" Target="media/image99.png"/><Relationship Id="rId107" Type="http://schemas.openxmlformats.org/officeDocument/2006/relationships/image" Target="media/image100.jpeg"/><Relationship Id="rId108" Type="http://schemas.openxmlformats.org/officeDocument/2006/relationships/image" Target="media/image101.png"/><Relationship Id="rId109" Type="http://schemas.openxmlformats.org/officeDocument/2006/relationships/image" Target="media/image102.jpeg"/><Relationship Id="rId110" Type="http://schemas.openxmlformats.org/officeDocument/2006/relationships/image" Target="media/image103.png"/><Relationship Id="rId111" Type="http://schemas.openxmlformats.org/officeDocument/2006/relationships/image" Target="media/image104.png"/><Relationship Id="rId112" Type="http://schemas.openxmlformats.org/officeDocument/2006/relationships/image" Target="media/image105.png"/><Relationship Id="rId113" Type="http://schemas.openxmlformats.org/officeDocument/2006/relationships/image" Target="media/image106.png"/><Relationship Id="rId114" Type="http://schemas.openxmlformats.org/officeDocument/2006/relationships/image" Target="media/image107.png"/><Relationship Id="rId115" Type="http://schemas.openxmlformats.org/officeDocument/2006/relationships/image" Target="media/image108.png"/><Relationship Id="rId116" Type="http://schemas.openxmlformats.org/officeDocument/2006/relationships/image" Target="media/image109.png"/><Relationship Id="rId117" Type="http://schemas.openxmlformats.org/officeDocument/2006/relationships/image" Target="media/image110.png"/><Relationship Id="rId118" Type="http://schemas.openxmlformats.org/officeDocument/2006/relationships/image" Target="media/image111.png"/><Relationship Id="rId119" Type="http://schemas.openxmlformats.org/officeDocument/2006/relationships/image" Target="media/image112.png"/><Relationship Id="rId120" Type="http://schemas.openxmlformats.org/officeDocument/2006/relationships/image" Target="media/image113.png"/><Relationship Id="rId121" Type="http://schemas.openxmlformats.org/officeDocument/2006/relationships/image" Target="media/image114.png"/><Relationship Id="rId122" Type="http://schemas.openxmlformats.org/officeDocument/2006/relationships/image" Target="media/image115.png"/><Relationship Id="rId123" Type="http://schemas.openxmlformats.org/officeDocument/2006/relationships/image" Target="media/image116.png"/><Relationship Id="rId124" Type="http://schemas.openxmlformats.org/officeDocument/2006/relationships/image" Target="media/image117.png"/><Relationship Id="rId125" Type="http://schemas.openxmlformats.org/officeDocument/2006/relationships/image" Target="media/image118.png"/><Relationship Id="rId126" Type="http://schemas.openxmlformats.org/officeDocument/2006/relationships/image" Target="media/image119.png"/><Relationship Id="rId127" Type="http://schemas.openxmlformats.org/officeDocument/2006/relationships/image" Target="media/image120.png"/><Relationship Id="rId128" Type="http://schemas.openxmlformats.org/officeDocument/2006/relationships/image" Target="media/image121.png"/><Relationship Id="rId129" Type="http://schemas.openxmlformats.org/officeDocument/2006/relationships/image" Target="media/image122.png"/><Relationship Id="rId130" Type="http://schemas.openxmlformats.org/officeDocument/2006/relationships/image" Target="media/image123.png"/><Relationship Id="rId131" Type="http://schemas.openxmlformats.org/officeDocument/2006/relationships/image" Target="media/image124.png"/><Relationship Id="rId132" Type="http://schemas.openxmlformats.org/officeDocument/2006/relationships/image" Target="media/image125.png"/><Relationship Id="rId133" Type="http://schemas.openxmlformats.org/officeDocument/2006/relationships/image" Target="media/image126.png"/><Relationship Id="rId134" Type="http://schemas.openxmlformats.org/officeDocument/2006/relationships/image" Target="media/image127.png"/><Relationship Id="rId135" Type="http://schemas.openxmlformats.org/officeDocument/2006/relationships/image" Target="media/image128.png"/><Relationship Id="rId136" Type="http://schemas.openxmlformats.org/officeDocument/2006/relationships/image" Target="media/image129.png"/><Relationship Id="rId137" Type="http://schemas.openxmlformats.org/officeDocument/2006/relationships/image" Target="media/image130.png"/><Relationship Id="rId138" Type="http://schemas.openxmlformats.org/officeDocument/2006/relationships/image" Target="media/image131.png"/><Relationship Id="rId139" Type="http://schemas.openxmlformats.org/officeDocument/2006/relationships/image" Target="media/image132.png"/><Relationship Id="rId140" Type="http://schemas.openxmlformats.org/officeDocument/2006/relationships/image" Target="media/image133.png"/><Relationship Id="rId141" Type="http://schemas.openxmlformats.org/officeDocument/2006/relationships/image" Target="media/image134.png"/><Relationship Id="rId142" Type="http://schemas.openxmlformats.org/officeDocument/2006/relationships/image" Target="media/image135.png"/><Relationship Id="rId143" Type="http://schemas.openxmlformats.org/officeDocument/2006/relationships/image" Target="media/image136.png"/><Relationship Id="rId144" Type="http://schemas.openxmlformats.org/officeDocument/2006/relationships/image" Target="media/image137.png"/><Relationship Id="rId145" Type="http://schemas.openxmlformats.org/officeDocument/2006/relationships/image" Target="media/image138.png"/><Relationship Id="rId146" Type="http://schemas.openxmlformats.org/officeDocument/2006/relationships/image" Target="media/image139.png"/><Relationship Id="rId147" Type="http://schemas.openxmlformats.org/officeDocument/2006/relationships/image" Target="media/image140.png"/><Relationship Id="rId148" Type="http://schemas.openxmlformats.org/officeDocument/2006/relationships/image" Target="media/image141.png"/><Relationship Id="rId149" Type="http://schemas.openxmlformats.org/officeDocument/2006/relationships/image" Target="media/image142.png"/><Relationship Id="rId150" Type="http://schemas.openxmlformats.org/officeDocument/2006/relationships/image" Target="media/image143.png"/><Relationship Id="rId151" Type="http://schemas.openxmlformats.org/officeDocument/2006/relationships/image" Target="media/image144.png"/><Relationship Id="rId152" Type="http://schemas.openxmlformats.org/officeDocument/2006/relationships/image" Target="media/image145.png"/><Relationship Id="rId153" Type="http://schemas.openxmlformats.org/officeDocument/2006/relationships/image" Target="media/image146.png"/><Relationship Id="rId154" Type="http://schemas.openxmlformats.org/officeDocument/2006/relationships/image" Target="media/image147.png"/><Relationship Id="rId155" Type="http://schemas.openxmlformats.org/officeDocument/2006/relationships/image" Target="media/image148.png"/><Relationship Id="rId156" Type="http://schemas.openxmlformats.org/officeDocument/2006/relationships/image" Target="media/image149.png"/><Relationship Id="rId157" Type="http://schemas.openxmlformats.org/officeDocument/2006/relationships/image" Target="media/image150.png"/><Relationship Id="rId158" Type="http://schemas.openxmlformats.org/officeDocument/2006/relationships/image" Target="media/image151.png"/><Relationship Id="rId159" Type="http://schemas.openxmlformats.org/officeDocument/2006/relationships/image" Target="media/image152.png"/><Relationship Id="rId160" Type="http://schemas.openxmlformats.org/officeDocument/2006/relationships/image" Target="media/image153.png"/><Relationship Id="rId161" Type="http://schemas.openxmlformats.org/officeDocument/2006/relationships/image" Target="media/image154.png"/><Relationship Id="rId162" Type="http://schemas.openxmlformats.org/officeDocument/2006/relationships/image" Target="media/image155.png"/><Relationship Id="rId163" Type="http://schemas.openxmlformats.org/officeDocument/2006/relationships/image" Target="media/image156.png"/><Relationship Id="rId164" Type="http://schemas.openxmlformats.org/officeDocument/2006/relationships/image" Target="media/image157.png"/><Relationship Id="rId165" Type="http://schemas.openxmlformats.org/officeDocument/2006/relationships/image" Target="media/image158.png"/><Relationship Id="rId166" Type="http://schemas.openxmlformats.org/officeDocument/2006/relationships/image" Target="media/image159.png"/><Relationship Id="rId167" Type="http://schemas.openxmlformats.org/officeDocument/2006/relationships/image" Target="media/image160.png"/><Relationship Id="rId168" Type="http://schemas.openxmlformats.org/officeDocument/2006/relationships/image" Target="media/image161.pn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2024-06-20T07:11:13Z</dcterms:created>
  <dcterms:modified xsi:type="dcterms:W3CDTF">2024-06-20T07:11:13Z</dcterms:modified>
</cp:coreProperties>
</file>